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57C0" w14:textId="77777777" w:rsidR="00C05EBC" w:rsidRPr="004138DD" w:rsidRDefault="00C05EBC" w:rsidP="00601BDA">
      <w:pPr>
        <w:spacing w:line="276" w:lineRule="auto"/>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Bogotá D.C., </w:t>
      </w:r>
      <w:r w:rsidR="00BE36ED" w:rsidRPr="004138DD">
        <w:rPr>
          <w:rFonts w:ascii="Arial" w:eastAsia="Bookman Old Style" w:hAnsi="Arial" w:cs="Arial"/>
          <w:color w:val="000000"/>
          <w:sz w:val="24"/>
          <w:szCs w:val="24"/>
        </w:rPr>
        <w:t>septiembre de 2024</w:t>
      </w:r>
    </w:p>
    <w:p w14:paraId="07F92FBA" w14:textId="77777777" w:rsidR="00C05EBC" w:rsidRPr="004138DD" w:rsidRDefault="00C05EBC" w:rsidP="00601BDA">
      <w:pPr>
        <w:widowControl/>
        <w:pBdr>
          <w:top w:val="nil"/>
          <w:left w:val="nil"/>
          <w:bottom w:val="nil"/>
          <w:right w:val="nil"/>
          <w:between w:val="nil"/>
        </w:pBdr>
        <w:spacing w:line="276" w:lineRule="auto"/>
        <w:ind w:right="-93"/>
        <w:jc w:val="both"/>
        <w:rPr>
          <w:rFonts w:ascii="Arial" w:eastAsia="Bookman Old Style" w:hAnsi="Arial" w:cs="Arial"/>
          <w:color w:val="000000"/>
          <w:sz w:val="24"/>
          <w:szCs w:val="24"/>
        </w:rPr>
      </w:pPr>
    </w:p>
    <w:p w14:paraId="7DA8B747" w14:textId="77777777" w:rsidR="00C05EBC" w:rsidRPr="004138DD" w:rsidRDefault="00C05EBC" w:rsidP="00601BDA">
      <w:pPr>
        <w:widowControl/>
        <w:pBdr>
          <w:top w:val="nil"/>
          <w:left w:val="nil"/>
          <w:bottom w:val="nil"/>
          <w:right w:val="nil"/>
          <w:between w:val="nil"/>
        </w:pBdr>
        <w:spacing w:line="276" w:lineRule="auto"/>
        <w:ind w:right="-93"/>
        <w:jc w:val="both"/>
        <w:rPr>
          <w:rFonts w:ascii="Arial" w:eastAsia="Bookman Old Style" w:hAnsi="Arial" w:cs="Arial"/>
          <w:color w:val="000000"/>
          <w:sz w:val="24"/>
          <w:szCs w:val="24"/>
        </w:rPr>
      </w:pPr>
    </w:p>
    <w:p w14:paraId="4C8C0E49" w14:textId="77777777" w:rsidR="00C05EBC" w:rsidRPr="004138DD" w:rsidRDefault="00C05EBC" w:rsidP="00601BDA">
      <w:pPr>
        <w:pStyle w:val="Sinespaciado"/>
        <w:spacing w:line="276" w:lineRule="auto"/>
        <w:rPr>
          <w:rFonts w:ascii="Arial" w:eastAsia="Bookman Old Style" w:hAnsi="Arial" w:cs="Arial"/>
          <w:sz w:val="24"/>
          <w:szCs w:val="24"/>
        </w:rPr>
      </w:pPr>
      <w:r w:rsidRPr="004138DD">
        <w:rPr>
          <w:rFonts w:ascii="Arial" w:eastAsia="Bookman Old Style" w:hAnsi="Arial" w:cs="Arial"/>
          <w:sz w:val="24"/>
          <w:szCs w:val="24"/>
        </w:rPr>
        <w:t>Honorable Representante</w:t>
      </w:r>
    </w:p>
    <w:p w14:paraId="340CEB26" w14:textId="77777777" w:rsidR="00C05EBC" w:rsidRPr="004138DD" w:rsidRDefault="00BE36ED" w:rsidP="00601BDA">
      <w:pPr>
        <w:pStyle w:val="Sinespaciado"/>
        <w:spacing w:line="276" w:lineRule="auto"/>
        <w:rPr>
          <w:rFonts w:ascii="Arial" w:eastAsia="Bookman Old Style" w:hAnsi="Arial" w:cs="Arial"/>
          <w:b/>
          <w:sz w:val="24"/>
          <w:szCs w:val="24"/>
        </w:rPr>
      </w:pPr>
      <w:r w:rsidRPr="004138DD">
        <w:rPr>
          <w:rFonts w:ascii="Arial" w:eastAsia="Bookman Old Style" w:hAnsi="Arial" w:cs="Arial"/>
          <w:b/>
          <w:sz w:val="24"/>
          <w:szCs w:val="24"/>
        </w:rPr>
        <w:t>ANA PAOLA GARCÍA SOTO</w:t>
      </w:r>
    </w:p>
    <w:p w14:paraId="6EA5E878" w14:textId="77777777" w:rsidR="00C05EBC" w:rsidRPr="004138DD" w:rsidRDefault="00646D0F" w:rsidP="00601BDA">
      <w:pPr>
        <w:pStyle w:val="Sinespaciado"/>
        <w:spacing w:line="276" w:lineRule="auto"/>
        <w:rPr>
          <w:rFonts w:ascii="Arial" w:eastAsia="Bookman Old Style" w:hAnsi="Arial" w:cs="Arial"/>
          <w:sz w:val="24"/>
          <w:szCs w:val="24"/>
        </w:rPr>
      </w:pPr>
      <w:r w:rsidRPr="004138DD">
        <w:rPr>
          <w:rFonts w:ascii="Arial" w:eastAsia="Bookman Old Style" w:hAnsi="Arial" w:cs="Arial"/>
          <w:sz w:val="24"/>
          <w:szCs w:val="24"/>
        </w:rPr>
        <w:t>Presidente</w:t>
      </w:r>
    </w:p>
    <w:p w14:paraId="6DD4315C" w14:textId="77777777" w:rsidR="00C05EBC" w:rsidRPr="004138DD" w:rsidRDefault="00C05EBC" w:rsidP="00601BDA">
      <w:pPr>
        <w:pStyle w:val="Sinespaciado"/>
        <w:spacing w:line="276" w:lineRule="auto"/>
        <w:rPr>
          <w:rFonts w:ascii="Arial" w:eastAsia="Bookman Old Style" w:hAnsi="Arial" w:cs="Arial"/>
          <w:sz w:val="24"/>
          <w:szCs w:val="24"/>
        </w:rPr>
      </w:pPr>
      <w:r w:rsidRPr="004138DD">
        <w:rPr>
          <w:rFonts w:ascii="Arial" w:eastAsia="Bookman Old Style" w:hAnsi="Arial" w:cs="Arial"/>
          <w:sz w:val="24"/>
          <w:szCs w:val="24"/>
        </w:rPr>
        <w:t>Comisión Primera Constitucional Permanente</w:t>
      </w:r>
    </w:p>
    <w:p w14:paraId="00769AAD" w14:textId="77777777" w:rsidR="00C05EBC" w:rsidRPr="004138DD" w:rsidRDefault="00C05EBC" w:rsidP="00601BDA">
      <w:pPr>
        <w:pStyle w:val="Sinespaciado"/>
        <w:spacing w:line="276" w:lineRule="auto"/>
        <w:rPr>
          <w:rFonts w:ascii="Arial" w:eastAsia="Bookman Old Style" w:hAnsi="Arial" w:cs="Arial"/>
          <w:sz w:val="24"/>
          <w:szCs w:val="24"/>
        </w:rPr>
      </w:pPr>
      <w:r w:rsidRPr="004138DD">
        <w:rPr>
          <w:rFonts w:ascii="Arial" w:eastAsia="Bookman Old Style" w:hAnsi="Arial" w:cs="Arial"/>
          <w:sz w:val="24"/>
          <w:szCs w:val="24"/>
        </w:rPr>
        <w:t>Cámara de Representantes</w:t>
      </w:r>
    </w:p>
    <w:p w14:paraId="611882E3" w14:textId="77777777" w:rsidR="00C05EBC" w:rsidRPr="004138DD" w:rsidRDefault="00C05EBC" w:rsidP="00601BDA">
      <w:pPr>
        <w:pStyle w:val="Sinespaciado"/>
        <w:spacing w:line="276" w:lineRule="auto"/>
        <w:rPr>
          <w:rFonts w:ascii="Arial" w:eastAsia="Bookman Old Style" w:hAnsi="Arial" w:cs="Arial"/>
          <w:sz w:val="24"/>
          <w:szCs w:val="24"/>
        </w:rPr>
      </w:pPr>
      <w:r w:rsidRPr="004138DD">
        <w:rPr>
          <w:rFonts w:ascii="Arial" w:eastAsia="Bookman Old Style" w:hAnsi="Arial" w:cs="Arial"/>
          <w:sz w:val="24"/>
          <w:szCs w:val="24"/>
        </w:rPr>
        <w:t>Ciudad</w:t>
      </w:r>
    </w:p>
    <w:p w14:paraId="04622678" w14:textId="77777777" w:rsidR="00C05EBC" w:rsidRPr="004138DD" w:rsidRDefault="00C05EBC" w:rsidP="00601BDA">
      <w:pPr>
        <w:spacing w:line="276" w:lineRule="auto"/>
        <w:jc w:val="both"/>
        <w:rPr>
          <w:rFonts w:ascii="Arial" w:eastAsia="Bookman Old Style" w:hAnsi="Arial" w:cs="Arial"/>
          <w:sz w:val="24"/>
          <w:szCs w:val="24"/>
        </w:rPr>
      </w:pPr>
    </w:p>
    <w:p w14:paraId="446A8D07" w14:textId="77777777" w:rsidR="00C05EBC" w:rsidRPr="004138DD" w:rsidRDefault="00C05EBC" w:rsidP="00601BDA">
      <w:pPr>
        <w:spacing w:line="276" w:lineRule="auto"/>
        <w:ind w:left="1416"/>
        <w:jc w:val="both"/>
        <w:rPr>
          <w:rFonts w:ascii="Arial" w:eastAsia="Bookman Old Style" w:hAnsi="Arial" w:cs="Arial"/>
          <w:color w:val="000000"/>
          <w:sz w:val="24"/>
          <w:szCs w:val="24"/>
        </w:rPr>
      </w:pPr>
      <w:r w:rsidRPr="004138DD">
        <w:rPr>
          <w:rFonts w:ascii="Arial" w:eastAsia="Bookman Old Style" w:hAnsi="Arial" w:cs="Arial"/>
          <w:b/>
          <w:color w:val="000000"/>
          <w:sz w:val="24"/>
          <w:szCs w:val="24"/>
        </w:rPr>
        <w:t>REF:</w:t>
      </w:r>
      <w:r w:rsidRPr="004138DD">
        <w:rPr>
          <w:rFonts w:ascii="Arial" w:eastAsia="Bookman Old Style" w:hAnsi="Arial" w:cs="Arial"/>
          <w:color w:val="000000"/>
          <w:sz w:val="24"/>
          <w:szCs w:val="24"/>
        </w:rPr>
        <w:t xml:space="preserve"> Informe de ponencia para primer debate del Proyecto de </w:t>
      </w:r>
      <w:r w:rsidR="00BE36ED" w:rsidRPr="004138DD">
        <w:rPr>
          <w:rFonts w:ascii="Arial" w:eastAsia="Bookman Old Style" w:hAnsi="Arial" w:cs="Arial"/>
          <w:color w:val="000000"/>
          <w:sz w:val="24"/>
          <w:szCs w:val="24"/>
        </w:rPr>
        <w:t>Acto Legislativo</w:t>
      </w:r>
      <w:r w:rsidRPr="004138DD">
        <w:rPr>
          <w:rFonts w:ascii="Arial" w:eastAsia="Bookman Old Style" w:hAnsi="Arial" w:cs="Arial"/>
          <w:color w:val="000000"/>
          <w:sz w:val="24"/>
          <w:szCs w:val="24"/>
        </w:rPr>
        <w:t xml:space="preserve"> No. </w:t>
      </w:r>
      <w:r w:rsidR="00BE36ED" w:rsidRPr="004138DD">
        <w:rPr>
          <w:rFonts w:ascii="Arial" w:eastAsia="Bookman Old Style" w:hAnsi="Arial" w:cs="Arial"/>
          <w:color w:val="000000"/>
          <w:sz w:val="24"/>
          <w:szCs w:val="24"/>
        </w:rPr>
        <w:t>155</w:t>
      </w:r>
      <w:r w:rsidRPr="004138DD">
        <w:rPr>
          <w:rFonts w:ascii="Arial" w:eastAsia="Bookman Old Style" w:hAnsi="Arial" w:cs="Arial"/>
          <w:color w:val="000000"/>
          <w:sz w:val="24"/>
          <w:szCs w:val="24"/>
        </w:rPr>
        <w:t xml:space="preserve"> de 202</w:t>
      </w:r>
      <w:r w:rsidR="00BE36ED" w:rsidRPr="004138DD">
        <w:rPr>
          <w:rFonts w:ascii="Arial" w:eastAsia="Bookman Old Style" w:hAnsi="Arial" w:cs="Arial"/>
          <w:color w:val="000000"/>
          <w:sz w:val="24"/>
          <w:szCs w:val="24"/>
        </w:rPr>
        <w:t>4</w:t>
      </w:r>
      <w:r w:rsidRPr="004138DD">
        <w:rPr>
          <w:rFonts w:ascii="Arial" w:eastAsia="Bookman Old Style" w:hAnsi="Arial" w:cs="Arial"/>
          <w:color w:val="000000"/>
          <w:sz w:val="24"/>
          <w:szCs w:val="24"/>
        </w:rPr>
        <w:t xml:space="preserve"> Cámara </w:t>
      </w:r>
      <w:r w:rsidR="00BE36ED" w:rsidRPr="004138DD">
        <w:rPr>
          <w:rFonts w:ascii="Arial" w:eastAsia="Bookman Old Style" w:hAnsi="Arial" w:cs="Arial"/>
          <w:b/>
          <w:i/>
          <w:color w:val="000000"/>
          <w:sz w:val="24"/>
          <w:szCs w:val="24"/>
        </w:rPr>
        <w:t xml:space="preserve">“Por medio del cual se modifica el artículo 112 de la </w:t>
      </w:r>
      <w:r w:rsidR="00646D0F" w:rsidRPr="004138DD">
        <w:rPr>
          <w:rFonts w:ascii="Arial" w:eastAsia="Bookman Old Style" w:hAnsi="Arial" w:cs="Arial"/>
          <w:b/>
          <w:i/>
          <w:color w:val="000000"/>
          <w:sz w:val="24"/>
          <w:szCs w:val="24"/>
        </w:rPr>
        <w:t>Constitución Política</w:t>
      </w:r>
      <w:r w:rsidR="00BE36ED" w:rsidRPr="004138DD">
        <w:rPr>
          <w:rFonts w:ascii="Arial" w:eastAsia="Bookman Old Style" w:hAnsi="Arial" w:cs="Arial"/>
          <w:b/>
          <w:i/>
          <w:color w:val="000000"/>
          <w:sz w:val="24"/>
          <w:szCs w:val="24"/>
        </w:rPr>
        <w:t xml:space="preserve"> y se dictan otras disposiciones”.</w:t>
      </w:r>
    </w:p>
    <w:p w14:paraId="46B131AA" w14:textId="77777777" w:rsidR="00C05EBC" w:rsidRPr="004138DD" w:rsidRDefault="00C05EBC" w:rsidP="00601BDA">
      <w:pPr>
        <w:spacing w:line="276" w:lineRule="auto"/>
        <w:ind w:left="1416"/>
        <w:jc w:val="both"/>
        <w:rPr>
          <w:rFonts w:ascii="Arial" w:eastAsia="Bookman Old Style" w:hAnsi="Arial" w:cs="Arial"/>
          <w:color w:val="000000"/>
          <w:sz w:val="24"/>
          <w:szCs w:val="24"/>
        </w:rPr>
      </w:pPr>
    </w:p>
    <w:p w14:paraId="16CB24B9" w14:textId="77777777" w:rsidR="00CF0AE0" w:rsidRPr="004138DD" w:rsidRDefault="00CF0AE0" w:rsidP="00601BDA">
      <w:pPr>
        <w:spacing w:line="276" w:lineRule="auto"/>
        <w:jc w:val="both"/>
        <w:rPr>
          <w:rFonts w:ascii="Arial" w:eastAsia="Bookman Old Style" w:hAnsi="Arial" w:cs="Arial"/>
          <w:color w:val="000000"/>
          <w:sz w:val="24"/>
          <w:szCs w:val="24"/>
        </w:rPr>
      </w:pPr>
    </w:p>
    <w:p w14:paraId="0A4C7825" w14:textId="77777777" w:rsidR="00C05EBC" w:rsidRPr="004138DD" w:rsidRDefault="00F25339" w:rsidP="00601BDA">
      <w:pP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Respetada</w:t>
      </w:r>
      <w:r w:rsidR="00C05EBC" w:rsidRPr="004138DD">
        <w:rPr>
          <w:rFonts w:ascii="Arial" w:eastAsia="Bookman Old Style" w:hAnsi="Arial" w:cs="Arial"/>
          <w:color w:val="000000"/>
          <w:sz w:val="24"/>
          <w:szCs w:val="24"/>
        </w:rPr>
        <w:t xml:space="preserve"> </w:t>
      </w:r>
      <w:proofErr w:type="gramStart"/>
      <w:r w:rsidR="00C05EBC" w:rsidRPr="004138DD">
        <w:rPr>
          <w:rFonts w:ascii="Arial" w:eastAsia="Bookman Old Style" w:hAnsi="Arial" w:cs="Arial"/>
          <w:color w:val="000000"/>
          <w:sz w:val="24"/>
          <w:szCs w:val="24"/>
        </w:rPr>
        <w:t>Presidente</w:t>
      </w:r>
      <w:proofErr w:type="gramEnd"/>
      <w:r w:rsidR="00C05EBC" w:rsidRPr="004138DD">
        <w:rPr>
          <w:rFonts w:ascii="Arial" w:eastAsia="Bookman Old Style" w:hAnsi="Arial" w:cs="Arial"/>
          <w:color w:val="000000"/>
          <w:sz w:val="24"/>
          <w:szCs w:val="24"/>
        </w:rPr>
        <w:t xml:space="preserve">: </w:t>
      </w:r>
    </w:p>
    <w:p w14:paraId="32A9D9FE" w14:textId="77777777" w:rsidR="00C05EBC" w:rsidRPr="004138DD" w:rsidRDefault="00C05EBC" w:rsidP="00601BDA">
      <w:pPr>
        <w:spacing w:line="276" w:lineRule="auto"/>
        <w:jc w:val="both"/>
        <w:rPr>
          <w:rFonts w:ascii="Arial" w:eastAsia="Bookman Old Style" w:hAnsi="Arial" w:cs="Arial"/>
          <w:color w:val="000000"/>
          <w:sz w:val="24"/>
          <w:szCs w:val="24"/>
        </w:rPr>
      </w:pPr>
    </w:p>
    <w:p w14:paraId="391CA1BE" w14:textId="77777777" w:rsidR="00CF0AE0" w:rsidRPr="004138DD" w:rsidRDefault="00CF0AE0" w:rsidP="00601BDA">
      <w:pPr>
        <w:spacing w:line="276" w:lineRule="auto"/>
        <w:jc w:val="both"/>
        <w:rPr>
          <w:rFonts w:ascii="Arial" w:eastAsia="Bookman Old Style" w:hAnsi="Arial" w:cs="Arial"/>
          <w:color w:val="000000"/>
          <w:sz w:val="24"/>
          <w:szCs w:val="24"/>
        </w:rPr>
      </w:pPr>
    </w:p>
    <w:p w14:paraId="1A75BFE8" w14:textId="77777777" w:rsidR="00C05EBC" w:rsidRPr="004138DD" w:rsidRDefault="00C05EBC" w:rsidP="00601BDA">
      <w:pP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En cumplimiento de la honrosa designación que la Mesa Directiva de la Comisión Primera del Cámara de la República </w:t>
      </w:r>
      <w:r w:rsidR="00BE36ED" w:rsidRPr="004138DD">
        <w:rPr>
          <w:rFonts w:ascii="Arial" w:eastAsia="Bookman Old Style" w:hAnsi="Arial" w:cs="Arial"/>
          <w:color w:val="000000"/>
          <w:sz w:val="24"/>
          <w:szCs w:val="24"/>
        </w:rPr>
        <w:t>me</w:t>
      </w:r>
      <w:r w:rsidRPr="004138DD">
        <w:rPr>
          <w:rFonts w:ascii="Arial" w:eastAsia="Bookman Old Style" w:hAnsi="Arial" w:cs="Arial"/>
          <w:color w:val="000000"/>
          <w:sz w:val="24"/>
          <w:szCs w:val="24"/>
        </w:rPr>
        <w:t xml:space="preserve"> hiciera y, de conformidad con los artículos 150, 153 y 156 de la Ley 5 de 1992, de la manera más atenta y </w:t>
      </w:r>
      <w:r w:rsidR="00C62201" w:rsidRPr="004138DD">
        <w:rPr>
          <w:rFonts w:ascii="Arial" w:eastAsia="Bookman Old Style" w:hAnsi="Arial" w:cs="Arial"/>
          <w:color w:val="000000"/>
          <w:sz w:val="24"/>
          <w:szCs w:val="24"/>
        </w:rPr>
        <w:t xml:space="preserve">estando </w:t>
      </w:r>
      <w:r w:rsidRPr="004138DD">
        <w:rPr>
          <w:rFonts w:ascii="Arial" w:eastAsia="Bookman Old Style" w:hAnsi="Arial" w:cs="Arial"/>
          <w:color w:val="000000"/>
          <w:sz w:val="24"/>
          <w:szCs w:val="24"/>
        </w:rPr>
        <w:t xml:space="preserve">dentro del término establecido para tal efecto, presento el informe de </w:t>
      </w:r>
      <w:r w:rsidRPr="004138DD">
        <w:rPr>
          <w:rFonts w:ascii="Arial" w:eastAsia="Bookman Old Style" w:hAnsi="Arial" w:cs="Arial"/>
          <w:b/>
          <w:color w:val="000000"/>
          <w:sz w:val="24"/>
          <w:szCs w:val="24"/>
        </w:rPr>
        <w:t>PONENCIA POSITIVA</w:t>
      </w:r>
      <w:r w:rsidRPr="004138DD">
        <w:rPr>
          <w:rFonts w:ascii="Arial" w:eastAsia="Bookman Old Style" w:hAnsi="Arial" w:cs="Arial"/>
          <w:color w:val="000000"/>
          <w:sz w:val="24"/>
          <w:szCs w:val="24"/>
        </w:rPr>
        <w:t xml:space="preserve"> para primer debate del Proyecto de </w:t>
      </w:r>
      <w:r w:rsidR="00BE36ED" w:rsidRPr="004138DD">
        <w:rPr>
          <w:rFonts w:ascii="Arial" w:eastAsia="Bookman Old Style" w:hAnsi="Arial" w:cs="Arial"/>
          <w:color w:val="000000"/>
          <w:sz w:val="24"/>
          <w:szCs w:val="24"/>
        </w:rPr>
        <w:t>Acto Legislativo</w:t>
      </w:r>
      <w:r w:rsidRPr="004138DD">
        <w:rPr>
          <w:rFonts w:ascii="Arial" w:eastAsia="Bookman Old Style" w:hAnsi="Arial" w:cs="Arial"/>
          <w:color w:val="000000"/>
          <w:sz w:val="24"/>
          <w:szCs w:val="24"/>
        </w:rPr>
        <w:t xml:space="preserve"> No. </w:t>
      </w:r>
      <w:r w:rsidR="00BE36ED" w:rsidRPr="004138DD">
        <w:rPr>
          <w:rFonts w:ascii="Arial" w:eastAsia="Bookman Old Style" w:hAnsi="Arial" w:cs="Arial"/>
          <w:color w:val="000000"/>
          <w:sz w:val="24"/>
          <w:szCs w:val="24"/>
        </w:rPr>
        <w:t>155 de 2024</w:t>
      </w:r>
      <w:r w:rsidRPr="004138DD">
        <w:rPr>
          <w:rFonts w:ascii="Arial" w:eastAsia="Bookman Old Style" w:hAnsi="Arial" w:cs="Arial"/>
          <w:color w:val="000000"/>
          <w:sz w:val="24"/>
          <w:szCs w:val="24"/>
        </w:rPr>
        <w:t xml:space="preserve"> Cámara </w:t>
      </w:r>
      <w:r w:rsidR="00BE36ED" w:rsidRPr="004138DD">
        <w:rPr>
          <w:rFonts w:ascii="Arial" w:eastAsia="Bookman Old Style" w:hAnsi="Arial" w:cs="Arial"/>
          <w:i/>
          <w:color w:val="000000"/>
          <w:sz w:val="24"/>
          <w:szCs w:val="24"/>
        </w:rPr>
        <w:t>“Por medio del cual se modifica el artículo 112 de la constitución política y se dictan otras disposiciones”</w:t>
      </w:r>
      <w:r w:rsidRPr="004138DD">
        <w:rPr>
          <w:rFonts w:ascii="Arial" w:eastAsia="Bookman Old Style" w:hAnsi="Arial" w:cs="Arial"/>
          <w:color w:val="000000"/>
          <w:sz w:val="24"/>
          <w:szCs w:val="24"/>
        </w:rPr>
        <w:t xml:space="preserve">, en los siguientes términos:  </w:t>
      </w:r>
    </w:p>
    <w:p w14:paraId="324FDE81" w14:textId="77777777" w:rsidR="00C05EBC" w:rsidRPr="004138DD" w:rsidRDefault="00C05EBC" w:rsidP="00601BDA">
      <w:pPr>
        <w:spacing w:line="276" w:lineRule="auto"/>
        <w:jc w:val="both"/>
        <w:rPr>
          <w:rFonts w:ascii="Arial" w:eastAsia="Bookman Old Style" w:hAnsi="Arial" w:cs="Arial"/>
          <w:i/>
          <w:color w:val="000000"/>
          <w:sz w:val="24"/>
          <w:szCs w:val="24"/>
        </w:rPr>
      </w:pPr>
    </w:p>
    <w:p w14:paraId="3D17CFAF" w14:textId="77777777" w:rsidR="00C05EBC" w:rsidRPr="004138DD" w:rsidRDefault="00C05EBC" w:rsidP="00601BDA">
      <w:pPr>
        <w:widowControl/>
        <w:numPr>
          <w:ilvl w:val="0"/>
          <w:numId w:val="3"/>
        </w:numPr>
        <w:pBdr>
          <w:top w:val="nil"/>
          <w:left w:val="nil"/>
          <w:bottom w:val="nil"/>
          <w:right w:val="nil"/>
          <w:between w:val="nil"/>
        </w:pBdr>
        <w:spacing w:line="276" w:lineRule="auto"/>
        <w:jc w:val="both"/>
        <w:rPr>
          <w:rFonts w:ascii="Arial" w:eastAsia="Bookman Old Style" w:hAnsi="Arial" w:cs="Arial"/>
          <w:b/>
          <w:color w:val="000000"/>
          <w:sz w:val="24"/>
          <w:szCs w:val="24"/>
        </w:rPr>
      </w:pPr>
      <w:r w:rsidRPr="004138DD">
        <w:rPr>
          <w:rFonts w:ascii="Arial" w:eastAsia="Bookman Old Style" w:hAnsi="Arial" w:cs="Arial"/>
          <w:b/>
          <w:color w:val="000000"/>
          <w:sz w:val="24"/>
          <w:szCs w:val="24"/>
        </w:rPr>
        <w:t xml:space="preserve">TRÁMITE LEGISLATIVO </w:t>
      </w:r>
    </w:p>
    <w:p w14:paraId="558737BA" w14:textId="77777777" w:rsidR="00C05EBC" w:rsidRPr="004138DD" w:rsidRDefault="00C05EBC" w:rsidP="00601BDA">
      <w:pPr>
        <w:spacing w:line="276" w:lineRule="auto"/>
        <w:jc w:val="both"/>
        <w:rPr>
          <w:rFonts w:ascii="Arial" w:eastAsia="Bookman Old Style" w:hAnsi="Arial" w:cs="Arial"/>
          <w:color w:val="000000"/>
          <w:sz w:val="24"/>
          <w:szCs w:val="24"/>
        </w:rPr>
      </w:pPr>
    </w:p>
    <w:p w14:paraId="3F71BB87" w14:textId="77777777" w:rsidR="00C05EBC" w:rsidRPr="004138DD" w:rsidRDefault="00C05EBC" w:rsidP="00601BDA">
      <w:pP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El Proyecto de </w:t>
      </w:r>
      <w:r w:rsidR="00646D0F" w:rsidRPr="004138DD">
        <w:rPr>
          <w:rFonts w:ascii="Arial" w:eastAsia="Bookman Old Style" w:hAnsi="Arial" w:cs="Arial"/>
          <w:color w:val="000000"/>
          <w:sz w:val="24"/>
          <w:szCs w:val="24"/>
        </w:rPr>
        <w:t>Acto Legislativo</w:t>
      </w:r>
      <w:r w:rsidRPr="004138DD">
        <w:rPr>
          <w:rFonts w:ascii="Arial" w:eastAsia="Bookman Old Style" w:hAnsi="Arial" w:cs="Arial"/>
          <w:color w:val="000000"/>
          <w:sz w:val="24"/>
          <w:szCs w:val="24"/>
        </w:rPr>
        <w:t xml:space="preserve"> No. </w:t>
      </w:r>
      <w:r w:rsidR="00BE36ED" w:rsidRPr="004138DD">
        <w:rPr>
          <w:rFonts w:ascii="Arial" w:eastAsia="Bookman Old Style" w:hAnsi="Arial" w:cs="Arial"/>
          <w:color w:val="000000"/>
          <w:sz w:val="24"/>
          <w:szCs w:val="24"/>
        </w:rPr>
        <w:t>155</w:t>
      </w:r>
      <w:r w:rsidRPr="004138DD">
        <w:rPr>
          <w:rFonts w:ascii="Arial" w:eastAsia="Bookman Old Style" w:hAnsi="Arial" w:cs="Arial"/>
          <w:color w:val="000000"/>
          <w:sz w:val="24"/>
          <w:szCs w:val="24"/>
        </w:rPr>
        <w:t xml:space="preserve"> de 202</w:t>
      </w:r>
      <w:r w:rsidR="00BE36ED" w:rsidRPr="004138DD">
        <w:rPr>
          <w:rFonts w:ascii="Arial" w:eastAsia="Bookman Old Style" w:hAnsi="Arial" w:cs="Arial"/>
          <w:color w:val="000000"/>
          <w:sz w:val="24"/>
          <w:szCs w:val="24"/>
        </w:rPr>
        <w:t>4</w:t>
      </w:r>
      <w:r w:rsidRPr="004138DD">
        <w:rPr>
          <w:rFonts w:ascii="Arial" w:eastAsia="Bookman Old Style" w:hAnsi="Arial" w:cs="Arial"/>
          <w:color w:val="000000"/>
          <w:sz w:val="24"/>
          <w:szCs w:val="24"/>
        </w:rPr>
        <w:t xml:space="preserve"> Cámara fue radicado el día </w:t>
      </w:r>
      <w:r w:rsidR="00BE36ED" w:rsidRPr="004138DD">
        <w:rPr>
          <w:rFonts w:ascii="Arial" w:eastAsia="Bookman Old Style" w:hAnsi="Arial" w:cs="Arial"/>
          <w:color w:val="000000"/>
          <w:sz w:val="24"/>
          <w:szCs w:val="24"/>
        </w:rPr>
        <w:t>seis</w:t>
      </w:r>
      <w:r w:rsidRPr="004138DD">
        <w:rPr>
          <w:rFonts w:ascii="Arial" w:eastAsia="Bookman Old Style" w:hAnsi="Arial" w:cs="Arial"/>
          <w:color w:val="000000"/>
          <w:sz w:val="24"/>
          <w:szCs w:val="24"/>
        </w:rPr>
        <w:t xml:space="preserve"> (</w:t>
      </w:r>
      <w:r w:rsidR="00BE36ED" w:rsidRPr="004138DD">
        <w:rPr>
          <w:rFonts w:ascii="Arial" w:eastAsia="Bookman Old Style" w:hAnsi="Arial" w:cs="Arial"/>
          <w:color w:val="000000"/>
          <w:sz w:val="24"/>
          <w:szCs w:val="24"/>
        </w:rPr>
        <w:t>06</w:t>
      </w:r>
      <w:r w:rsidRPr="004138DD">
        <w:rPr>
          <w:rFonts w:ascii="Arial" w:eastAsia="Bookman Old Style" w:hAnsi="Arial" w:cs="Arial"/>
          <w:color w:val="000000"/>
          <w:sz w:val="24"/>
          <w:szCs w:val="24"/>
        </w:rPr>
        <w:t xml:space="preserve">) de </w:t>
      </w:r>
      <w:r w:rsidR="00BE36ED" w:rsidRPr="004138DD">
        <w:rPr>
          <w:rFonts w:ascii="Arial" w:eastAsia="Bookman Old Style" w:hAnsi="Arial" w:cs="Arial"/>
          <w:color w:val="000000"/>
          <w:sz w:val="24"/>
          <w:szCs w:val="24"/>
        </w:rPr>
        <w:t>agosto</w:t>
      </w:r>
      <w:r w:rsidRPr="004138DD">
        <w:rPr>
          <w:rFonts w:ascii="Arial" w:eastAsia="Bookman Old Style" w:hAnsi="Arial" w:cs="Arial"/>
          <w:color w:val="000000"/>
          <w:sz w:val="24"/>
          <w:szCs w:val="24"/>
        </w:rPr>
        <w:t xml:space="preserve"> del presente año ante la Secretaría General del Cámara por </w:t>
      </w:r>
      <w:r w:rsidR="00BE36ED" w:rsidRPr="004138DD">
        <w:rPr>
          <w:rFonts w:ascii="Arial" w:eastAsia="Bookman Old Style" w:hAnsi="Arial" w:cs="Arial"/>
          <w:color w:val="000000"/>
          <w:sz w:val="24"/>
          <w:szCs w:val="24"/>
        </w:rPr>
        <w:t xml:space="preserve">la suscrita, en compañía de los representantes María Eugenia Lopera Monsalve , Andrés David Calle Aguas , </w:t>
      </w:r>
      <w:proofErr w:type="spellStart"/>
      <w:r w:rsidR="00BE36ED" w:rsidRPr="004138DD">
        <w:rPr>
          <w:rFonts w:ascii="Arial" w:eastAsia="Bookman Old Style" w:hAnsi="Arial" w:cs="Arial"/>
          <w:color w:val="000000"/>
          <w:sz w:val="24"/>
          <w:szCs w:val="24"/>
        </w:rPr>
        <w:t>Gersel</w:t>
      </w:r>
      <w:proofErr w:type="spellEnd"/>
      <w:r w:rsidR="00BE36ED" w:rsidRPr="004138DD">
        <w:rPr>
          <w:rFonts w:ascii="Arial" w:eastAsia="Bookman Old Style" w:hAnsi="Arial" w:cs="Arial"/>
          <w:color w:val="000000"/>
          <w:sz w:val="24"/>
          <w:szCs w:val="24"/>
        </w:rPr>
        <w:t xml:space="preserve"> Luis Pérez Altamiranda , </w:t>
      </w:r>
      <w:proofErr w:type="spellStart"/>
      <w:r w:rsidR="00BE36ED" w:rsidRPr="004138DD">
        <w:rPr>
          <w:rFonts w:ascii="Arial" w:eastAsia="Bookman Old Style" w:hAnsi="Arial" w:cs="Arial"/>
          <w:color w:val="000000"/>
          <w:sz w:val="24"/>
          <w:szCs w:val="24"/>
        </w:rPr>
        <w:t>Jezmi</w:t>
      </w:r>
      <w:proofErr w:type="spellEnd"/>
      <w:r w:rsidR="00BE36ED" w:rsidRPr="004138DD">
        <w:rPr>
          <w:rFonts w:ascii="Arial" w:eastAsia="Bookman Old Style" w:hAnsi="Arial" w:cs="Arial"/>
          <w:color w:val="000000"/>
          <w:sz w:val="24"/>
          <w:szCs w:val="24"/>
        </w:rPr>
        <w:t xml:space="preserve"> Lizeth Barraza </w:t>
      </w:r>
      <w:proofErr w:type="spellStart"/>
      <w:r w:rsidR="00BE36ED" w:rsidRPr="004138DD">
        <w:rPr>
          <w:rFonts w:ascii="Arial" w:eastAsia="Bookman Old Style" w:hAnsi="Arial" w:cs="Arial"/>
          <w:color w:val="000000"/>
          <w:sz w:val="24"/>
          <w:szCs w:val="24"/>
        </w:rPr>
        <w:t>Arraut</w:t>
      </w:r>
      <w:proofErr w:type="spellEnd"/>
      <w:r w:rsidR="00BE36ED" w:rsidRPr="004138DD">
        <w:rPr>
          <w:rFonts w:ascii="Arial" w:eastAsia="Bookman Old Style" w:hAnsi="Arial" w:cs="Arial"/>
          <w:color w:val="000000"/>
          <w:sz w:val="24"/>
          <w:szCs w:val="24"/>
        </w:rPr>
        <w:t xml:space="preserve"> , Olga Beatriz González Correa , Carlos Adolfo Ardila Espinosa , Alirio Uribe Muñoz , Álvaro Leonel Rueda caballero , Julián Peinado Ramírez , Germán Rogelio Rozo Anís , Gildardo Silva Molina , Gabriel Ernesto Parrado Durán , Gabriel Becerra </w:t>
      </w:r>
      <w:proofErr w:type="spellStart"/>
      <w:r w:rsidR="00BE36ED" w:rsidRPr="004138DD">
        <w:rPr>
          <w:rFonts w:ascii="Arial" w:eastAsia="Bookman Old Style" w:hAnsi="Arial" w:cs="Arial"/>
          <w:color w:val="000000"/>
          <w:sz w:val="24"/>
          <w:szCs w:val="24"/>
        </w:rPr>
        <w:t>Yañez</w:t>
      </w:r>
      <w:proofErr w:type="spellEnd"/>
      <w:r w:rsidR="00C62201" w:rsidRPr="004138DD">
        <w:rPr>
          <w:rFonts w:ascii="Arial" w:eastAsia="Bookman Old Style" w:hAnsi="Arial" w:cs="Arial"/>
          <w:color w:val="000000"/>
          <w:sz w:val="24"/>
          <w:szCs w:val="24"/>
        </w:rPr>
        <w:t xml:space="preserve"> y, ha sido </w:t>
      </w:r>
      <w:r w:rsidRPr="004138DD">
        <w:rPr>
          <w:rFonts w:ascii="Arial" w:eastAsia="Bookman Old Style" w:hAnsi="Arial" w:cs="Arial"/>
          <w:color w:val="000000"/>
          <w:sz w:val="24"/>
          <w:szCs w:val="24"/>
        </w:rPr>
        <w:t xml:space="preserve">debidamente publicado en la Gaceta No. </w:t>
      </w:r>
      <w:r w:rsidR="00BE36ED" w:rsidRPr="004138DD">
        <w:rPr>
          <w:rFonts w:ascii="Arial" w:eastAsia="Bookman Old Style" w:hAnsi="Arial" w:cs="Arial"/>
          <w:color w:val="000000"/>
          <w:sz w:val="24"/>
          <w:szCs w:val="24"/>
        </w:rPr>
        <w:t>1208 de 2024</w:t>
      </w:r>
      <w:r w:rsidRPr="004138DD">
        <w:rPr>
          <w:rFonts w:ascii="Arial" w:eastAsia="Bookman Old Style" w:hAnsi="Arial" w:cs="Arial"/>
          <w:color w:val="000000"/>
          <w:sz w:val="24"/>
          <w:szCs w:val="24"/>
        </w:rPr>
        <w:t xml:space="preserve">. </w:t>
      </w:r>
    </w:p>
    <w:p w14:paraId="09340589" w14:textId="77777777" w:rsidR="00C05EBC" w:rsidRPr="004138DD" w:rsidRDefault="00C05EBC" w:rsidP="00601BDA">
      <w:pPr>
        <w:widowControl/>
        <w:pBdr>
          <w:top w:val="nil"/>
          <w:left w:val="nil"/>
          <w:bottom w:val="nil"/>
          <w:right w:val="nil"/>
          <w:between w:val="nil"/>
        </w:pBdr>
        <w:spacing w:line="276" w:lineRule="auto"/>
        <w:ind w:right="-93"/>
        <w:jc w:val="both"/>
        <w:rPr>
          <w:rFonts w:ascii="Arial" w:eastAsia="Bookman Old Style" w:hAnsi="Arial" w:cs="Arial"/>
          <w:color w:val="000000"/>
          <w:sz w:val="24"/>
          <w:szCs w:val="24"/>
        </w:rPr>
      </w:pPr>
    </w:p>
    <w:p w14:paraId="2BC503EE" w14:textId="77777777" w:rsidR="00CF0AE0" w:rsidRPr="004138DD" w:rsidRDefault="00C05EBC" w:rsidP="00601BDA">
      <w:pPr>
        <w:widowControl/>
        <w:pBdr>
          <w:top w:val="nil"/>
          <w:left w:val="nil"/>
          <w:bottom w:val="nil"/>
          <w:right w:val="nil"/>
          <w:between w:val="nil"/>
        </w:pBdr>
        <w:spacing w:line="276" w:lineRule="auto"/>
        <w:ind w:right="-93"/>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Mediante </w:t>
      </w:r>
      <w:r w:rsidRPr="004138DD">
        <w:rPr>
          <w:rFonts w:ascii="Arial" w:eastAsia="Bookman Old Style" w:hAnsi="Arial" w:cs="Arial"/>
          <w:b/>
          <w:color w:val="000000"/>
          <w:sz w:val="24"/>
          <w:szCs w:val="24"/>
        </w:rPr>
        <w:t xml:space="preserve">Oficio CPCP </w:t>
      </w:r>
      <w:r w:rsidR="00BE36ED" w:rsidRPr="004138DD">
        <w:rPr>
          <w:rFonts w:ascii="Arial" w:eastAsia="Bookman Old Style" w:hAnsi="Arial" w:cs="Arial"/>
          <w:b/>
          <w:color w:val="000000"/>
          <w:sz w:val="24"/>
          <w:szCs w:val="24"/>
        </w:rPr>
        <w:t>3.1-0186-2024</w:t>
      </w:r>
      <w:r w:rsidRPr="004138DD">
        <w:rPr>
          <w:rFonts w:ascii="Arial" w:eastAsia="Bookman Old Style" w:hAnsi="Arial" w:cs="Arial"/>
          <w:b/>
          <w:color w:val="000000"/>
          <w:sz w:val="24"/>
          <w:szCs w:val="24"/>
        </w:rPr>
        <w:t>,</w:t>
      </w:r>
      <w:r w:rsidRPr="004138DD">
        <w:rPr>
          <w:rFonts w:ascii="Arial" w:eastAsia="Bookman Old Style" w:hAnsi="Arial" w:cs="Arial"/>
          <w:color w:val="000000"/>
          <w:sz w:val="24"/>
          <w:szCs w:val="24"/>
        </w:rPr>
        <w:t xml:space="preserve"> la Dra. Amparo Yaneth Calderón Perdomo, </w:t>
      </w:r>
      <w:proofErr w:type="gramStart"/>
      <w:r w:rsidRPr="004138DD">
        <w:rPr>
          <w:rFonts w:ascii="Arial" w:eastAsia="Bookman Old Style" w:hAnsi="Arial" w:cs="Arial"/>
          <w:color w:val="000000"/>
          <w:sz w:val="24"/>
          <w:szCs w:val="24"/>
        </w:rPr>
        <w:t>Secret</w:t>
      </w:r>
      <w:r w:rsidR="00BE36ED" w:rsidRPr="004138DD">
        <w:rPr>
          <w:rFonts w:ascii="Arial" w:eastAsia="Bookman Old Style" w:hAnsi="Arial" w:cs="Arial"/>
          <w:color w:val="000000"/>
          <w:sz w:val="24"/>
          <w:szCs w:val="24"/>
        </w:rPr>
        <w:t>aria</w:t>
      </w:r>
      <w:proofErr w:type="gramEnd"/>
      <w:r w:rsidR="00BE36ED" w:rsidRPr="004138DD">
        <w:rPr>
          <w:rFonts w:ascii="Arial" w:eastAsia="Bookman Old Style" w:hAnsi="Arial" w:cs="Arial"/>
          <w:color w:val="000000"/>
          <w:sz w:val="24"/>
          <w:szCs w:val="24"/>
        </w:rPr>
        <w:t xml:space="preserve"> de la Comisión Primera</w:t>
      </w:r>
      <w:r w:rsidRPr="004138DD">
        <w:rPr>
          <w:rFonts w:ascii="Arial" w:eastAsia="Bookman Old Style" w:hAnsi="Arial" w:cs="Arial"/>
          <w:color w:val="000000"/>
          <w:sz w:val="24"/>
          <w:szCs w:val="24"/>
        </w:rPr>
        <w:t xml:space="preserve"> Constitucional de la Cámara de Representantes, comunicó sobre la designación de ponentes realizada por la mesa directiva de la comisión </w:t>
      </w:r>
      <w:r w:rsidRPr="004138DD">
        <w:rPr>
          <w:rFonts w:ascii="Arial" w:eastAsia="Bookman Old Style" w:hAnsi="Arial" w:cs="Arial"/>
          <w:color w:val="000000"/>
          <w:sz w:val="24"/>
          <w:szCs w:val="24"/>
        </w:rPr>
        <w:lastRenderedPageBreak/>
        <w:t xml:space="preserve">para el Proyecto de </w:t>
      </w:r>
      <w:r w:rsidR="00BE36ED" w:rsidRPr="004138DD">
        <w:rPr>
          <w:rFonts w:ascii="Arial" w:eastAsia="Bookman Old Style" w:hAnsi="Arial" w:cs="Arial"/>
          <w:color w:val="000000"/>
          <w:sz w:val="24"/>
          <w:szCs w:val="24"/>
        </w:rPr>
        <w:t>Acto Legislativo</w:t>
      </w:r>
      <w:r w:rsidRPr="004138DD">
        <w:rPr>
          <w:rFonts w:ascii="Arial" w:eastAsia="Bookman Old Style" w:hAnsi="Arial" w:cs="Arial"/>
          <w:color w:val="000000"/>
          <w:sz w:val="24"/>
          <w:szCs w:val="24"/>
        </w:rPr>
        <w:t xml:space="preserve"> </w:t>
      </w:r>
      <w:r w:rsidR="00BE36ED" w:rsidRPr="004138DD">
        <w:rPr>
          <w:rFonts w:ascii="Arial" w:eastAsia="Bookman Old Style" w:hAnsi="Arial" w:cs="Arial"/>
          <w:color w:val="000000"/>
          <w:sz w:val="24"/>
          <w:szCs w:val="24"/>
        </w:rPr>
        <w:t>155 de 2024</w:t>
      </w:r>
      <w:r w:rsidRPr="004138DD">
        <w:rPr>
          <w:rFonts w:ascii="Arial" w:eastAsia="Bookman Old Style" w:hAnsi="Arial" w:cs="Arial"/>
          <w:color w:val="000000"/>
          <w:sz w:val="24"/>
          <w:szCs w:val="24"/>
        </w:rPr>
        <w:t xml:space="preserve"> Cámara. Dicho oficio </w:t>
      </w:r>
      <w:r w:rsidR="00C62201" w:rsidRPr="004138DD">
        <w:rPr>
          <w:rFonts w:ascii="Arial" w:eastAsia="Bookman Old Style" w:hAnsi="Arial" w:cs="Arial"/>
          <w:color w:val="000000"/>
          <w:sz w:val="24"/>
          <w:szCs w:val="24"/>
        </w:rPr>
        <w:t>enseña</w:t>
      </w:r>
      <w:r w:rsidRPr="004138DD">
        <w:rPr>
          <w:rFonts w:ascii="Arial" w:eastAsia="Bookman Old Style" w:hAnsi="Arial" w:cs="Arial"/>
          <w:color w:val="000000"/>
          <w:sz w:val="24"/>
          <w:szCs w:val="24"/>
        </w:rPr>
        <w:t xml:space="preserve"> que fue designada como ponente única para rendir ponencia para primer debate la Representantes </w:t>
      </w:r>
      <w:r w:rsidRPr="004138DD">
        <w:rPr>
          <w:rFonts w:ascii="Arial" w:eastAsia="Bookman Old Style" w:hAnsi="Arial" w:cs="Arial"/>
          <w:b/>
          <w:color w:val="000000"/>
          <w:sz w:val="24"/>
          <w:szCs w:val="24"/>
        </w:rPr>
        <w:t xml:space="preserve">Karyme </w:t>
      </w:r>
      <w:proofErr w:type="spellStart"/>
      <w:r w:rsidRPr="004138DD">
        <w:rPr>
          <w:rFonts w:ascii="Arial" w:eastAsia="Bookman Old Style" w:hAnsi="Arial" w:cs="Arial"/>
          <w:b/>
          <w:color w:val="000000"/>
          <w:sz w:val="24"/>
          <w:szCs w:val="24"/>
        </w:rPr>
        <w:t>Adrana</w:t>
      </w:r>
      <w:proofErr w:type="spellEnd"/>
      <w:r w:rsidRPr="004138DD">
        <w:rPr>
          <w:rFonts w:ascii="Arial" w:eastAsia="Bookman Old Style" w:hAnsi="Arial" w:cs="Arial"/>
          <w:b/>
          <w:color w:val="000000"/>
          <w:sz w:val="24"/>
          <w:szCs w:val="24"/>
        </w:rPr>
        <w:t xml:space="preserve"> Cotes Martínez. </w:t>
      </w:r>
    </w:p>
    <w:p w14:paraId="40348CEA" w14:textId="77777777" w:rsidR="00CF0AE0" w:rsidRPr="004138DD" w:rsidRDefault="00CF0AE0" w:rsidP="00601BDA">
      <w:pPr>
        <w:widowControl/>
        <w:pBdr>
          <w:top w:val="nil"/>
          <w:left w:val="nil"/>
          <w:bottom w:val="nil"/>
          <w:right w:val="nil"/>
          <w:between w:val="nil"/>
        </w:pBdr>
        <w:spacing w:line="276" w:lineRule="auto"/>
        <w:ind w:right="-93"/>
        <w:jc w:val="both"/>
        <w:rPr>
          <w:rFonts w:ascii="Arial" w:eastAsia="Bookman Old Style" w:hAnsi="Arial" w:cs="Arial"/>
          <w:color w:val="000000"/>
          <w:sz w:val="24"/>
          <w:szCs w:val="24"/>
        </w:rPr>
      </w:pPr>
    </w:p>
    <w:p w14:paraId="3B0EC37A" w14:textId="77777777" w:rsidR="00C05EBC" w:rsidRPr="004138DD" w:rsidRDefault="00C05EBC" w:rsidP="00601BDA">
      <w:pPr>
        <w:widowControl/>
        <w:numPr>
          <w:ilvl w:val="0"/>
          <w:numId w:val="3"/>
        </w:numPr>
        <w:pBdr>
          <w:top w:val="nil"/>
          <w:left w:val="nil"/>
          <w:bottom w:val="nil"/>
          <w:right w:val="nil"/>
          <w:between w:val="nil"/>
        </w:pBdr>
        <w:spacing w:line="276" w:lineRule="auto"/>
        <w:ind w:right="-93"/>
        <w:jc w:val="both"/>
        <w:rPr>
          <w:rFonts w:ascii="Arial" w:eastAsia="Bookman Old Style" w:hAnsi="Arial" w:cs="Arial"/>
          <w:b/>
          <w:color w:val="000000"/>
          <w:sz w:val="24"/>
          <w:szCs w:val="24"/>
        </w:rPr>
      </w:pPr>
      <w:r w:rsidRPr="004138DD">
        <w:rPr>
          <w:rFonts w:ascii="Arial" w:eastAsia="Bookman Old Style" w:hAnsi="Arial" w:cs="Arial"/>
          <w:b/>
          <w:color w:val="000000"/>
          <w:sz w:val="24"/>
          <w:szCs w:val="24"/>
        </w:rPr>
        <w:t xml:space="preserve">EXPOSICIÓN DE MOTIVOS </w:t>
      </w:r>
    </w:p>
    <w:p w14:paraId="406DEA53" w14:textId="77777777" w:rsidR="00C05EBC" w:rsidRPr="004138DD" w:rsidRDefault="00C05EBC" w:rsidP="00601BDA">
      <w:pPr>
        <w:spacing w:line="276" w:lineRule="auto"/>
        <w:jc w:val="both"/>
        <w:rPr>
          <w:rFonts w:ascii="Arial" w:eastAsia="Bookman Old Style" w:hAnsi="Arial" w:cs="Arial"/>
          <w:color w:val="000000"/>
          <w:sz w:val="24"/>
          <w:szCs w:val="24"/>
        </w:rPr>
      </w:pPr>
    </w:p>
    <w:p w14:paraId="53C3452C" w14:textId="77777777" w:rsidR="00601BDA" w:rsidRPr="004138DD" w:rsidRDefault="00601BDA" w:rsidP="00601BDA">
      <w:pPr>
        <w:spacing w:line="276" w:lineRule="auto"/>
        <w:jc w:val="both"/>
        <w:rPr>
          <w:rFonts w:ascii="Arial" w:eastAsia="Bookman Old Style" w:hAnsi="Arial" w:cs="Arial"/>
          <w:color w:val="000000"/>
          <w:sz w:val="24"/>
          <w:szCs w:val="24"/>
        </w:rPr>
      </w:pPr>
    </w:p>
    <w:p w14:paraId="05418CB8" w14:textId="77777777" w:rsidR="00601BDA" w:rsidRPr="004138DD" w:rsidRDefault="00601BDA" w:rsidP="00601BDA">
      <w:pPr>
        <w:pStyle w:val="Prrafodelista"/>
        <w:widowControl/>
        <w:numPr>
          <w:ilvl w:val="0"/>
          <w:numId w:val="10"/>
        </w:numPr>
        <w:autoSpaceDE/>
        <w:autoSpaceDN/>
        <w:spacing w:after="200" w:line="276" w:lineRule="auto"/>
        <w:jc w:val="both"/>
        <w:rPr>
          <w:rFonts w:ascii="Arial" w:hAnsi="Arial" w:cs="Arial"/>
          <w:b/>
          <w:sz w:val="24"/>
          <w:szCs w:val="28"/>
        </w:rPr>
      </w:pPr>
      <w:r w:rsidRPr="004138DD">
        <w:rPr>
          <w:rFonts w:ascii="Arial" w:hAnsi="Arial" w:cs="Arial"/>
          <w:b/>
          <w:sz w:val="24"/>
          <w:szCs w:val="28"/>
        </w:rPr>
        <w:t>COMPETENCIA PARA REFORMAR LA CONSTITUCIÓN POLÍTICA.</w:t>
      </w:r>
    </w:p>
    <w:p w14:paraId="3EC01941" w14:textId="77777777" w:rsidR="00601BDA" w:rsidRPr="004138DD" w:rsidRDefault="00601BDA" w:rsidP="00601BDA">
      <w:pPr>
        <w:spacing w:line="276" w:lineRule="auto"/>
        <w:jc w:val="both"/>
        <w:rPr>
          <w:rFonts w:ascii="Arial" w:hAnsi="Arial" w:cs="Arial"/>
          <w:sz w:val="24"/>
          <w:szCs w:val="28"/>
        </w:rPr>
      </w:pPr>
      <w:r w:rsidRPr="004138DD">
        <w:rPr>
          <w:rFonts w:ascii="Arial" w:hAnsi="Arial" w:cs="Arial"/>
          <w:sz w:val="24"/>
          <w:szCs w:val="28"/>
        </w:rPr>
        <w:t xml:space="preserve">La </w:t>
      </w:r>
      <w:r w:rsidR="00646D0F" w:rsidRPr="004138DD">
        <w:rPr>
          <w:rFonts w:ascii="Arial" w:hAnsi="Arial" w:cs="Arial"/>
          <w:sz w:val="24"/>
          <w:szCs w:val="28"/>
        </w:rPr>
        <w:t>Constitución Política</w:t>
      </w:r>
      <w:r w:rsidRPr="004138DD">
        <w:rPr>
          <w:rFonts w:ascii="Arial" w:hAnsi="Arial" w:cs="Arial"/>
          <w:sz w:val="24"/>
          <w:szCs w:val="28"/>
        </w:rPr>
        <w:t xml:space="preserve"> de 1991 establece que, en relación a cambios y modificaciones a su texto, existen unas competencias consagradas para llevar a cabo dicho procedimiento, indicando en su artículo 374º lo que sigue: </w:t>
      </w:r>
    </w:p>
    <w:p w14:paraId="6A95A51B" w14:textId="77777777" w:rsidR="00F25339" w:rsidRPr="004138DD" w:rsidRDefault="00F25339" w:rsidP="00601BDA">
      <w:pPr>
        <w:spacing w:line="276" w:lineRule="auto"/>
        <w:jc w:val="both"/>
        <w:rPr>
          <w:rFonts w:ascii="Arial" w:hAnsi="Arial" w:cs="Arial"/>
          <w:sz w:val="24"/>
          <w:szCs w:val="28"/>
        </w:rPr>
      </w:pPr>
    </w:p>
    <w:p w14:paraId="09EBFC7D" w14:textId="77777777" w:rsidR="00601BDA" w:rsidRPr="004138DD" w:rsidRDefault="00601BDA" w:rsidP="00601BDA">
      <w:pPr>
        <w:spacing w:line="276" w:lineRule="auto"/>
        <w:ind w:left="426" w:right="474"/>
        <w:jc w:val="both"/>
        <w:rPr>
          <w:rFonts w:ascii="Arial" w:hAnsi="Arial" w:cs="Arial"/>
          <w:szCs w:val="28"/>
        </w:rPr>
      </w:pPr>
      <w:r w:rsidRPr="004138DD">
        <w:rPr>
          <w:rFonts w:ascii="Arial" w:hAnsi="Arial" w:cs="Arial"/>
          <w:i/>
          <w:szCs w:val="28"/>
        </w:rPr>
        <w:t xml:space="preserve">“La Constitución Política </w:t>
      </w:r>
      <w:r w:rsidRPr="004138DD">
        <w:rPr>
          <w:rFonts w:ascii="Arial" w:hAnsi="Arial" w:cs="Arial"/>
          <w:b/>
          <w:i/>
          <w:szCs w:val="28"/>
          <w:u w:val="single"/>
        </w:rPr>
        <w:t>podrá ser reformada por el Congreso</w:t>
      </w:r>
      <w:r w:rsidRPr="004138DD">
        <w:rPr>
          <w:rFonts w:ascii="Arial" w:hAnsi="Arial" w:cs="Arial"/>
          <w:i/>
          <w:szCs w:val="28"/>
        </w:rPr>
        <w:t>, por una Asamblea Constituyente o por el pueblo mediante referendo.” </w:t>
      </w:r>
      <w:r w:rsidRPr="004138DD">
        <w:rPr>
          <w:rFonts w:ascii="Arial" w:hAnsi="Arial" w:cs="Arial"/>
          <w:szCs w:val="28"/>
        </w:rPr>
        <w:t>(Subrayado por el autor).</w:t>
      </w:r>
    </w:p>
    <w:p w14:paraId="3D420EAB" w14:textId="77777777" w:rsidR="00F25339" w:rsidRPr="004138DD" w:rsidRDefault="00F25339" w:rsidP="00601BDA">
      <w:pPr>
        <w:spacing w:line="276" w:lineRule="auto"/>
        <w:ind w:left="426" w:right="474"/>
        <w:jc w:val="both"/>
        <w:rPr>
          <w:rFonts w:ascii="Arial" w:hAnsi="Arial" w:cs="Arial"/>
          <w:szCs w:val="28"/>
        </w:rPr>
      </w:pPr>
    </w:p>
    <w:p w14:paraId="2A3985FF" w14:textId="77777777" w:rsidR="00601BDA" w:rsidRPr="004138DD" w:rsidRDefault="00601BDA" w:rsidP="00601BDA">
      <w:pPr>
        <w:spacing w:line="276" w:lineRule="auto"/>
        <w:ind w:right="-93"/>
        <w:jc w:val="both"/>
        <w:rPr>
          <w:rFonts w:ascii="Arial" w:hAnsi="Arial" w:cs="Arial"/>
          <w:sz w:val="24"/>
          <w:szCs w:val="28"/>
        </w:rPr>
      </w:pPr>
      <w:r w:rsidRPr="004138DD">
        <w:rPr>
          <w:rFonts w:ascii="Arial" w:hAnsi="Arial" w:cs="Arial"/>
          <w:sz w:val="24"/>
          <w:szCs w:val="28"/>
        </w:rPr>
        <w:t>Adicionalmente, el mismo texto constitucional establece en su artículo 375º:</w:t>
      </w:r>
    </w:p>
    <w:p w14:paraId="7BD6533C" w14:textId="77777777" w:rsidR="00601BDA" w:rsidRPr="004138DD" w:rsidRDefault="00601BDA" w:rsidP="00601BDA">
      <w:pPr>
        <w:spacing w:line="276" w:lineRule="auto"/>
        <w:ind w:left="426" w:right="474"/>
        <w:jc w:val="both"/>
        <w:rPr>
          <w:rFonts w:ascii="Arial" w:hAnsi="Arial" w:cs="Arial"/>
          <w:szCs w:val="28"/>
        </w:rPr>
      </w:pPr>
      <w:r w:rsidRPr="004138DD">
        <w:rPr>
          <w:rFonts w:ascii="Arial" w:hAnsi="Arial" w:cs="Arial"/>
          <w:b/>
          <w:i/>
          <w:szCs w:val="28"/>
          <w:u w:val="single"/>
        </w:rPr>
        <w:t>¨Podrán presentar proyectos de acto legislativo</w:t>
      </w:r>
      <w:r w:rsidRPr="004138DD">
        <w:rPr>
          <w:rFonts w:ascii="Arial" w:hAnsi="Arial" w:cs="Arial"/>
          <w:i/>
          <w:szCs w:val="28"/>
        </w:rPr>
        <w:t xml:space="preserve"> el Gobierno, </w:t>
      </w:r>
      <w:r w:rsidRPr="004138DD">
        <w:rPr>
          <w:rFonts w:ascii="Arial" w:hAnsi="Arial" w:cs="Arial"/>
          <w:b/>
          <w:i/>
          <w:szCs w:val="28"/>
          <w:u w:val="single"/>
        </w:rPr>
        <w:t>diez miembros del Congreso</w:t>
      </w:r>
      <w:r w:rsidRPr="004138DD">
        <w:rPr>
          <w:rFonts w:ascii="Arial" w:hAnsi="Arial" w:cs="Arial"/>
          <w:i/>
          <w:szCs w:val="28"/>
          <w:u w:val="single"/>
        </w:rPr>
        <w:t>,</w:t>
      </w:r>
      <w:r w:rsidRPr="004138DD">
        <w:rPr>
          <w:rFonts w:ascii="Arial" w:hAnsi="Arial" w:cs="Arial"/>
          <w:i/>
          <w:szCs w:val="28"/>
        </w:rPr>
        <w:t xml:space="preserve"> el veinte por ciento de los concejales o de los diputados y los ciudadanos en un número equivalente al menos, al cinco por ciento del censo electoral vigente. 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En este segundo período sólo podrán debatirse iniciativas presentadas en el primero. ¨ </w:t>
      </w:r>
      <w:r w:rsidRPr="004138DD">
        <w:rPr>
          <w:rFonts w:ascii="Arial" w:hAnsi="Arial" w:cs="Arial"/>
          <w:szCs w:val="28"/>
        </w:rPr>
        <w:t>(Subrayado por el autor).</w:t>
      </w:r>
    </w:p>
    <w:p w14:paraId="68442F90" w14:textId="77777777" w:rsidR="00F25339" w:rsidRPr="004138DD" w:rsidRDefault="00F25339" w:rsidP="00601BDA">
      <w:pPr>
        <w:spacing w:line="276" w:lineRule="auto"/>
        <w:ind w:left="426" w:right="474"/>
        <w:jc w:val="both"/>
        <w:rPr>
          <w:rFonts w:ascii="Arial" w:hAnsi="Arial" w:cs="Arial"/>
          <w:i/>
          <w:szCs w:val="28"/>
        </w:rPr>
      </w:pPr>
    </w:p>
    <w:p w14:paraId="1AE19071" w14:textId="77777777" w:rsidR="00601BDA" w:rsidRPr="004138DD" w:rsidRDefault="00601BDA" w:rsidP="00601BDA">
      <w:pPr>
        <w:spacing w:line="276" w:lineRule="auto"/>
        <w:jc w:val="both"/>
        <w:rPr>
          <w:rFonts w:ascii="Arial" w:hAnsi="Arial" w:cs="Arial"/>
          <w:sz w:val="24"/>
          <w:szCs w:val="28"/>
        </w:rPr>
      </w:pPr>
      <w:r w:rsidRPr="004138DD">
        <w:rPr>
          <w:rFonts w:ascii="Arial" w:hAnsi="Arial" w:cs="Arial"/>
          <w:sz w:val="24"/>
          <w:szCs w:val="28"/>
        </w:rPr>
        <w:t>Es la ley 5ta de 1992 la que en su desarrollo legal establece en el artículo 223°, lo que sigue:</w:t>
      </w:r>
    </w:p>
    <w:p w14:paraId="5A6EEC75" w14:textId="77777777" w:rsidR="00601BDA" w:rsidRPr="004138DD" w:rsidRDefault="00601BDA" w:rsidP="00601BDA">
      <w:pPr>
        <w:spacing w:before="100" w:beforeAutospacing="1" w:after="100" w:afterAutospacing="1" w:line="276" w:lineRule="auto"/>
        <w:ind w:left="426" w:right="474"/>
        <w:jc w:val="both"/>
        <w:rPr>
          <w:rFonts w:ascii="Arial" w:hAnsi="Arial" w:cs="Arial"/>
          <w:i/>
          <w:szCs w:val="28"/>
        </w:rPr>
      </w:pPr>
      <w:r w:rsidRPr="004138DD">
        <w:rPr>
          <w:rFonts w:ascii="Arial" w:hAnsi="Arial" w:cs="Arial"/>
          <w:i/>
          <w:szCs w:val="28"/>
        </w:rPr>
        <w:t>Pueden presentar proyectos de acto legislativo:</w:t>
      </w:r>
    </w:p>
    <w:p w14:paraId="6C722130" w14:textId="77777777" w:rsidR="00601BDA" w:rsidRPr="004138DD" w:rsidRDefault="00601BDA" w:rsidP="00601BDA">
      <w:pPr>
        <w:spacing w:before="100" w:beforeAutospacing="1" w:after="100" w:afterAutospacing="1" w:line="276" w:lineRule="auto"/>
        <w:ind w:left="426" w:right="474"/>
        <w:jc w:val="both"/>
        <w:rPr>
          <w:rFonts w:ascii="Arial" w:hAnsi="Arial" w:cs="Arial"/>
          <w:i/>
          <w:szCs w:val="28"/>
        </w:rPr>
      </w:pPr>
      <w:r w:rsidRPr="004138DD">
        <w:rPr>
          <w:rFonts w:ascii="Arial" w:hAnsi="Arial" w:cs="Arial"/>
          <w:i/>
          <w:szCs w:val="28"/>
        </w:rPr>
        <w:t>1. El Gobierno Nacional.</w:t>
      </w:r>
    </w:p>
    <w:p w14:paraId="717022B9" w14:textId="77777777" w:rsidR="00601BDA" w:rsidRPr="004138DD" w:rsidRDefault="00601BDA" w:rsidP="00601BDA">
      <w:pPr>
        <w:spacing w:before="100" w:beforeAutospacing="1" w:after="100" w:afterAutospacing="1" w:line="276" w:lineRule="auto"/>
        <w:ind w:left="426" w:right="474"/>
        <w:jc w:val="both"/>
        <w:rPr>
          <w:rFonts w:ascii="Arial" w:hAnsi="Arial" w:cs="Arial"/>
          <w:i/>
          <w:szCs w:val="28"/>
        </w:rPr>
      </w:pPr>
      <w:r w:rsidRPr="004138DD">
        <w:rPr>
          <w:rFonts w:ascii="Arial" w:hAnsi="Arial" w:cs="Arial"/>
          <w:i/>
          <w:szCs w:val="28"/>
        </w:rPr>
        <w:t xml:space="preserve">2. </w:t>
      </w:r>
      <w:r w:rsidRPr="004138DD">
        <w:rPr>
          <w:rFonts w:ascii="Arial" w:hAnsi="Arial" w:cs="Arial"/>
          <w:b/>
          <w:i/>
          <w:szCs w:val="28"/>
          <w:u w:val="single"/>
        </w:rPr>
        <w:t>Diez (10) miembros del Congreso.</w:t>
      </w:r>
    </w:p>
    <w:p w14:paraId="75F10FCF" w14:textId="77777777" w:rsidR="00601BDA" w:rsidRPr="004138DD" w:rsidRDefault="00601BDA" w:rsidP="00601BDA">
      <w:pPr>
        <w:spacing w:before="100" w:beforeAutospacing="1" w:after="100" w:afterAutospacing="1" w:line="276" w:lineRule="auto"/>
        <w:ind w:left="426" w:right="474"/>
        <w:jc w:val="both"/>
        <w:rPr>
          <w:rFonts w:ascii="Arial" w:hAnsi="Arial" w:cs="Arial"/>
          <w:i/>
          <w:szCs w:val="28"/>
        </w:rPr>
      </w:pPr>
      <w:r w:rsidRPr="004138DD">
        <w:rPr>
          <w:rFonts w:ascii="Arial" w:hAnsi="Arial" w:cs="Arial"/>
          <w:i/>
          <w:szCs w:val="28"/>
        </w:rPr>
        <w:t>3. Un número de ciudadanos igual o superior al cinco por ciento (5%) del censo electoral existente en la fecha respectiva.</w:t>
      </w:r>
    </w:p>
    <w:p w14:paraId="3BF87B19" w14:textId="77777777" w:rsidR="00601BDA" w:rsidRPr="004138DD" w:rsidRDefault="00601BDA" w:rsidP="00601BDA">
      <w:pPr>
        <w:spacing w:before="100" w:beforeAutospacing="1" w:after="100" w:afterAutospacing="1" w:line="276" w:lineRule="auto"/>
        <w:ind w:left="426" w:right="474"/>
        <w:jc w:val="both"/>
        <w:rPr>
          <w:rFonts w:ascii="Arial" w:hAnsi="Arial" w:cs="Arial"/>
          <w:i/>
          <w:szCs w:val="28"/>
        </w:rPr>
      </w:pPr>
      <w:r w:rsidRPr="004138DD">
        <w:rPr>
          <w:rFonts w:ascii="Arial" w:hAnsi="Arial" w:cs="Arial"/>
          <w:i/>
          <w:szCs w:val="28"/>
        </w:rPr>
        <w:t xml:space="preserve">4. Un veinte (20%) por ciento de los </w:t>
      </w:r>
      <w:proofErr w:type="gramStart"/>
      <w:r w:rsidRPr="004138DD">
        <w:rPr>
          <w:rFonts w:ascii="Arial" w:hAnsi="Arial" w:cs="Arial"/>
          <w:i/>
          <w:szCs w:val="28"/>
        </w:rPr>
        <w:t>Concejales</w:t>
      </w:r>
      <w:proofErr w:type="gramEnd"/>
      <w:r w:rsidRPr="004138DD">
        <w:rPr>
          <w:rFonts w:ascii="Arial" w:hAnsi="Arial" w:cs="Arial"/>
          <w:i/>
          <w:szCs w:val="28"/>
        </w:rPr>
        <w:t xml:space="preserve"> del país.</w:t>
      </w:r>
    </w:p>
    <w:p w14:paraId="46975482" w14:textId="77777777" w:rsidR="00601BDA" w:rsidRPr="004138DD" w:rsidRDefault="00601BDA" w:rsidP="00601BDA">
      <w:pPr>
        <w:spacing w:before="100" w:beforeAutospacing="1" w:after="100" w:afterAutospacing="1" w:line="276" w:lineRule="auto"/>
        <w:ind w:left="426" w:right="474"/>
        <w:jc w:val="both"/>
        <w:rPr>
          <w:rFonts w:ascii="Arial" w:hAnsi="Arial" w:cs="Arial"/>
          <w:i/>
          <w:szCs w:val="28"/>
        </w:rPr>
      </w:pPr>
      <w:r w:rsidRPr="004138DD">
        <w:rPr>
          <w:rFonts w:ascii="Arial" w:hAnsi="Arial" w:cs="Arial"/>
          <w:i/>
          <w:szCs w:val="28"/>
        </w:rPr>
        <w:t>5. Un veinte (20%) por ciento de los Diputados del país.</w:t>
      </w:r>
    </w:p>
    <w:p w14:paraId="3691E4AE" w14:textId="77777777" w:rsidR="00601BDA" w:rsidRPr="004138DD" w:rsidRDefault="00601BDA" w:rsidP="00601BDA">
      <w:pPr>
        <w:spacing w:line="276" w:lineRule="auto"/>
        <w:ind w:firstLine="426"/>
        <w:jc w:val="both"/>
        <w:rPr>
          <w:rFonts w:ascii="Arial" w:hAnsi="Arial" w:cs="Arial"/>
          <w:szCs w:val="28"/>
        </w:rPr>
      </w:pPr>
      <w:r w:rsidRPr="004138DD">
        <w:rPr>
          <w:rFonts w:ascii="Arial" w:hAnsi="Arial" w:cs="Arial"/>
          <w:szCs w:val="28"/>
        </w:rPr>
        <w:t>(Subrayado fuera de texto).</w:t>
      </w:r>
    </w:p>
    <w:p w14:paraId="15FEBECE" w14:textId="77777777" w:rsidR="00F25339" w:rsidRPr="004138DD" w:rsidRDefault="00F25339" w:rsidP="00601BDA">
      <w:pPr>
        <w:spacing w:line="276" w:lineRule="auto"/>
        <w:ind w:firstLine="426"/>
        <w:jc w:val="both"/>
        <w:rPr>
          <w:rFonts w:ascii="Arial" w:hAnsi="Arial" w:cs="Arial"/>
          <w:szCs w:val="28"/>
        </w:rPr>
      </w:pPr>
    </w:p>
    <w:p w14:paraId="68EAA546" w14:textId="77777777" w:rsidR="00601BDA" w:rsidRPr="004138DD" w:rsidRDefault="00601BDA" w:rsidP="00601BDA">
      <w:pPr>
        <w:spacing w:line="276" w:lineRule="auto"/>
        <w:jc w:val="both"/>
        <w:rPr>
          <w:rFonts w:ascii="Arial" w:hAnsi="Arial" w:cs="Arial"/>
          <w:sz w:val="24"/>
          <w:szCs w:val="24"/>
          <w:lang w:val="es-ES"/>
        </w:rPr>
      </w:pPr>
      <w:r w:rsidRPr="004138DD">
        <w:rPr>
          <w:rFonts w:ascii="Arial" w:hAnsi="Arial" w:cs="Arial"/>
          <w:sz w:val="24"/>
          <w:szCs w:val="24"/>
          <w:lang w:val="es-ES"/>
        </w:rPr>
        <w:t>Así las cosas, se puede afirmar que los congresistas de la República, en el número mínimo indicado en la Constitución y la Ley, pueden presentar ante la corporación iniciativas legislativas para modificar el texto constitucional.</w:t>
      </w:r>
    </w:p>
    <w:p w14:paraId="0CD3505D" w14:textId="77777777" w:rsidR="00601BDA" w:rsidRPr="004138DD" w:rsidRDefault="00601BDA" w:rsidP="00601BDA">
      <w:pPr>
        <w:pStyle w:val="Prrafodelista"/>
        <w:widowControl/>
        <w:numPr>
          <w:ilvl w:val="0"/>
          <w:numId w:val="10"/>
        </w:numPr>
        <w:pBdr>
          <w:top w:val="nil"/>
          <w:left w:val="nil"/>
          <w:bottom w:val="nil"/>
          <w:right w:val="nil"/>
          <w:between w:val="nil"/>
        </w:pBdr>
        <w:autoSpaceDE/>
        <w:autoSpaceDN/>
        <w:spacing w:before="280" w:after="280" w:line="276" w:lineRule="auto"/>
        <w:jc w:val="both"/>
        <w:rPr>
          <w:rFonts w:ascii="Arial" w:eastAsia="Bookman Old Style" w:hAnsi="Arial" w:cs="Arial"/>
          <w:color w:val="000000"/>
          <w:sz w:val="24"/>
          <w:szCs w:val="24"/>
          <w:u w:val="single"/>
        </w:rPr>
      </w:pPr>
      <w:r w:rsidRPr="004138DD">
        <w:rPr>
          <w:rFonts w:ascii="Arial" w:eastAsia="Bookman Old Style" w:hAnsi="Arial" w:cs="Arial"/>
          <w:b/>
          <w:color w:val="000000"/>
          <w:sz w:val="24"/>
          <w:szCs w:val="24"/>
          <w:u w:val="single"/>
        </w:rPr>
        <w:t>OBJETO DE LA INICIATIVA</w:t>
      </w:r>
    </w:p>
    <w:p w14:paraId="21BEC2C6" w14:textId="77777777" w:rsidR="00601BDA" w:rsidRPr="004138DD" w:rsidRDefault="00601BDA" w:rsidP="00601BDA">
      <w:pP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Según consta en la parte motiva de este proyecto, con la presente iniciativa se pretende proteger el derecho de los ciudadanos a ser representados por quienes eligen mediante el ejercicio al sufragio.</w:t>
      </w:r>
    </w:p>
    <w:p w14:paraId="2E42E83E" w14:textId="77777777" w:rsidR="00601BDA" w:rsidRPr="004138DD" w:rsidRDefault="00601BDA" w:rsidP="00601BDA">
      <w:pPr>
        <w:spacing w:line="276" w:lineRule="auto"/>
        <w:jc w:val="both"/>
        <w:rPr>
          <w:rFonts w:ascii="Arial" w:eastAsia="Bookman Old Style" w:hAnsi="Arial" w:cs="Arial"/>
          <w:color w:val="000000"/>
          <w:sz w:val="24"/>
          <w:szCs w:val="24"/>
        </w:rPr>
      </w:pPr>
    </w:p>
    <w:p w14:paraId="57D462D8" w14:textId="77777777" w:rsidR="00601BDA" w:rsidRPr="004138DD" w:rsidRDefault="00601BDA" w:rsidP="00601BDA">
      <w:pP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Para lo anterior se propone realizar una modificación al artículo 112 superior, como inicio de las modificaciones normativas necesarias para garantizar el cumplimiento del objeto de la iniciativa. </w:t>
      </w:r>
    </w:p>
    <w:p w14:paraId="09E0EDE3" w14:textId="77777777" w:rsidR="00601BDA" w:rsidRPr="004138DD" w:rsidRDefault="00601BDA" w:rsidP="00601BDA">
      <w:pPr>
        <w:spacing w:line="276" w:lineRule="auto"/>
        <w:jc w:val="both"/>
        <w:rPr>
          <w:rFonts w:ascii="Arial" w:eastAsia="Bookman Old Style" w:hAnsi="Arial" w:cs="Arial"/>
          <w:color w:val="000000"/>
          <w:sz w:val="24"/>
          <w:szCs w:val="24"/>
        </w:rPr>
      </w:pPr>
    </w:p>
    <w:p w14:paraId="1512C2C8" w14:textId="77777777" w:rsidR="00601BDA" w:rsidRPr="004138DD" w:rsidRDefault="00601BDA" w:rsidP="00601BDA">
      <w:pP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La modificación consiste en aplicar para las elecciones a la gobernación y alcaldía la misma fórmula que se aplica en el texto constitucional y en el estatuto de la oposición para el candidato derrotado a la Presidencia y a la Vicepresidencia de la República, es decir, que en las corporaciones del nivel departamental y municipal mantengan sus curules y, en caso de presentarse aceptación por parte del candidato perdedor, adicionar una curul sin perjuicio de aquellas por las cuales votaron los ciudadanos. De esta forma se está protegiendo la voluntad popular manifestada mediante el voto, evitando que la intensión del constituyente primario quede supeditada a una decisión unilateral del candidato perdedor.  </w:t>
      </w:r>
    </w:p>
    <w:p w14:paraId="0BC737AB" w14:textId="77777777" w:rsidR="00601BDA" w:rsidRPr="004138DD" w:rsidRDefault="00601BDA" w:rsidP="00601BDA">
      <w:pPr>
        <w:spacing w:line="276" w:lineRule="auto"/>
        <w:jc w:val="both"/>
        <w:rPr>
          <w:rFonts w:ascii="Arial" w:eastAsia="Bookman Old Style" w:hAnsi="Arial" w:cs="Arial"/>
          <w:color w:val="000000"/>
          <w:sz w:val="24"/>
          <w:szCs w:val="24"/>
        </w:rPr>
      </w:pPr>
    </w:p>
    <w:p w14:paraId="74AF59C2" w14:textId="77777777" w:rsidR="00601BDA" w:rsidRPr="004138DD" w:rsidRDefault="00601BDA" w:rsidP="00601BDA">
      <w:pPr>
        <w:widowControl/>
        <w:numPr>
          <w:ilvl w:val="0"/>
          <w:numId w:val="10"/>
        </w:numPr>
        <w:pBdr>
          <w:top w:val="nil"/>
          <w:left w:val="nil"/>
          <w:bottom w:val="nil"/>
          <w:right w:val="nil"/>
          <w:between w:val="nil"/>
        </w:pBdr>
        <w:autoSpaceDE/>
        <w:autoSpaceDN/>
        <w:spacing w:after="200" w:line="276" w:lineRule="auto"/>
        <w:rPr>
          <w:rFonts w:ascii="Arial" w:eastAsia="Bookman Old Style" w:hAnsi="Arial" w:cs="Arial"/>
          <w:b/>
          <w:color w:val="000000"/>
          <w:sz w:val="24"/>
          <w:szCs w:val="24"/>
        </w:rPr>
      </w:pPr>
      <w:r w:rsidRPr="004138DD">
        <w:rPr>
          <w:rFonts w:ascii="Arial" w:eastAsia="Bookman Old Style" w:hAnsi="Arial" w:cs="Arial"/>
          <w:b/>
          <w:color w:val="000000"/>
          <w:sz w:val="24"/>
          <w:szCs w:val="24"/>
          <w:u w:val="single"/>
        </w:rPr>
        <w:t xml:space="preserve">ANTECEDENTES </w:t>
      </w:r>
    </w:p>
    <w:p w14:paraId="061361FD" w14:textId="77777777" w:rsidR="00601BDA" w:rsidRPr="004138DD" w:rsidRDefault="00601BDA" w:rsidP="00601BDA">
      <w:pPr>
        <w:pBdr>
          <w:top w:val="nil"/>
          <w:left w:val="nil"/>
          <w:bottom w:val="nil"/>
          <w:right w:val="nil"/>
          <w:between w:val="nil"/>
        </w:pBdr>
        <w:spacing w:after="200"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El Congreso de la República, mediante la aprobación del Acto Legislativo 02 del 1° de julio de 2015, decidió, entre otras cosas, crear la posibilidad para que el candidato perdedor en las elecciones para Presidente y Vicepresidente de la República, para Gobernador y para Alcalde municipal o distrital, en representación de la oposición, decida ocupar un cargo en la corporación de elección popular de su circunscripción, esto es, Senado y Cámara de Representantes para el caso de los candidatos perdedores de las elecciones a Presidencia y Vicepresidencia de la República, Asambleas Departamentales para el caso del candidato que hubiere perdido la elección a la Gobernación Departamental, y Concejo Municipal o Distrital para el caso de quien hubiere sido derrotado en el certamen para elegir Alcalde Municipal o Distrital.</w:t>
      </w:r>
    </w:p>
    <w:p w14:paraId="30A2D9CA" w14:textId="77777777" w:rsidR="00601BDA" w:rsidRPr="004138DD" w:rsidRDefault="00601BDA" w:rsidP="00601BDA">
      <w:pPr>
        <w:pBdr>
          <w:top w:val="nil"/>
          <w:left w:val="nil"/>
          <w:bottom w:val="nil"/>
          <w:right w:val="nil"/>
          <w:between w:val="nil"/>
        </w:pBdr>
        <w:spacing w:after="200"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Sin embargo, en el Acto Legislativo se consagra que esa curul para el candidato perdedor será adicional solo para el caso del Senado y de la Cámara de la República, pero no para las corporaciones de elección popular de las circunscripciones locales.</w:t>
      </w:r>
    </w:p>
    <w:p w14:paraId="7289DAAB" w14:textId="77777777" w:rsidR="00601BDA" w:rsidRPr="004138DD" w:rsidRDefault="00601BDA" w:rsidP="00601BDA">
      <w:pPr>
        <w:pBdr>
          <w:top w:val="nil"/>
          <w:left w:val="nil"/>
          <w:bottom w:val="nil"/>
          <w:right w:val="nil"/>
          <w:between w:val="nil"/>
        </w:pBdr>
        <w:spacing w:after="200"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lastRenderedPageBreak/>
        <w:t>Lo anterior se desarrolló en la Ley 1909 del 9 de julio de 2018, por medio de la cual se expidió el denominado “Estatuto de la Oposición” como un establecimiento del “marco</w:t>
      </w:r>
      <w:r w:rsidRPr="004138DD">
        <w:rPr>
          <w:rFonts w:ascii="Arial" w:hAnsi="Arial" w:cs="Arial"/>
          <w:sz w:val="24"/>
          <w:szCs w:val="24"/>
        </w:rPr>
        <w:t xml:space="preserve"> </w:t>
      </w:r>
      <w:r w:rsidRPr="004138DD">
        <w:rPr>
          <w:rFonts w:ascii="Arial" w:eastAsia="Bookman Old Style" w:hAnsi="Arial" w:cs="Arial"/>
          <w:color w:val="000000"/>
          <w:sz w:val="24"/>
          <w:szCs w:val="24"/>
        </w:rPr>
        <w:t>general para el ejercicio y la protección especial del derecho a la oposición de las organizaciones políticas y algunos derechos de las organizaciones independientes”</w:t>
      </w:r>
      <w:r w:rsidRPr="004138DD">
        <w:rPr>
          <w:rStyle w:val="Refdenotaalpie"/>
          <w:rFonts w:ascii="Arial" w:eastAsia="Bookman Old Style" w:hAnsi="Arial" w:cs="Arial"/>
          <w:color w:val="000000"/>
          <w:sz w:val="24"/>
          <w:szCs w:val="24"/>
        </w:rPr>
        <w:footnoteReference w:id="1"/>
      </w:r>
      <w:r w:rsidRPr="004138DD">
        <w:rPr>
          <w:rFonts w:ascii="Arial" w:eastAsia="Bookman Old Style" w:hAnsi="Arial" w:cs="Arial"/>
          <w:color w:val="000000"/>
          <w:sz w:val="24"/>
          <w:szCs w:val="24"/>
        </w:rPr>
        <w:t xml:space="preserve">. </w:t>
      </w:r>
    </w:p>
    <w:p w14:paraId="2D96CC7B" w14:textId="77777777" w:rsidR="00601BDA" w:rsidRPr="004138DD" w:rsidRDefault="00601BDA" w:rsidP="00601BDA">
      <w:pPr>
        <w:pBdr>
          <w:top w:val="nil"/>
          <w:left w:val="nil"/>
          <w:bottom w:val="nil"/>
          <w:right w:val="nil"/>
          <w:between w:val="nil"/>
        </w:pBdr>
        <w:spacing w:after="200" w:line="276" w:lineRule="auto"/>
        <w:rPr>
          <w:rFonts w:ascii="Arial" w:eastAsia="Bookman Old Style" w:hAnsi="Arial" w:cs="Arial"/>
          <w:color w:val="000000"/>
          <w:sz w:val="24"/>
          <w:szCs w:val="24"/>
        </w:rPr>
      </w:pPr>
      <w:r w:rsidRPr="004138DD">
        <w:rPr>
          <w:rFonts w:ascii="Arial" w:eastAsia="Bookman Old Style" w:hAnsi="Arial" w:cs="Arial"/>
          <w:color w:val="000000"/>
          <w:sz w:val="24"/>
          <w:szCs w:val="24"/>
        </w:rPr>
        <w:t>El artículo 24 de la mencionada Ley establece:</w:t>
      </w:r>
    </w:p>
    <w:p w14:paraId="0D2F55FD" w14:textId="77777777" w:rsidR="00601BDA" w:rsidRPr="004138DD" w:rsidRDefault="00601BDA" w:rsidP="00601BDA">
      <w:pPr>
        <w:pBdr>
          <w:top w:val="nil"/>
          <w:left w:val="nil"/>
          <w:bottom w:val="nil"/>
          <w:right w:val="nil"/>
          <w:between w:val="nil"/>
        </w:pBdr>
        <w:spacing w:after="200" w:line="276" w:lineRule="auto"/>
        <w:ind w:left="426" w:right="333"/>
        <w:jc w:val="both"/>
        <w:rPr>
          <w:rFonts w:ascii="Arial" w:eastAsia="Bookman Old Style" w:hAnsi="Arial" w:cs="Arial"/>
          <w:i/>
          <w:color w:val="000000"/>
          <w:sz w:val="24"/>
          <w:szCs w:val="24"/>
        </w:rPr>
      </w:pPr>
      <w:r w:rsidRPr="004138DD">
        <w:rPr>
          <w:rFonts w:ascii="Arial" w:eastAsia="Bookman Old Style" w:hAnsi="Arial" w:cs="Arial"/>
          <w:i/>
          <w:color w:val="000000"/>
          <w:sz w:val="24"/>
          <w:szCs w:val="24"/>
        </w:rPr>
        <w:t xml:space="preserve">Los candidatos que sigan en votos a quienes la autoridad electoral declare elegidos </w:t>
      </w:r>
      <w:proofErr w:type="gramStart"/>
      <w:r w:rsidRPr="004138DD">
        <w:rPr>
          <w:rFonts w:ascii="Arial" w:eastAsia="Bookman Old Style" w:hAnsi="Arial" w:cs="Arial"/>
          <w:i/>
          <w:color w:val="000000"/>
          <w:sz w:val="24"/>
          <w:szCs w:val="24"/>
        </w:rPr>
        <w:t>Presidente</w:t>
      </w:r>
      <w:proofErr w:type="gramEnd"/>
      <w:r w:rsidRPr="004138DD">
        <w:rPr>
          <w:rFonts w:ascii="Arial" w:eastAsia="Bookman Old Style" w:hAnsi="Arial" w:cs="Arial"/>
          <w:i/>
          <w:color w:val="000000"/>
          <w:sz w:val="24"/>
          <w:szCs w:val="24"/>
        </w:rPr>
        <w:t xml:space="preserve"> y Vicepresidente de la República, tendrán el derecho personal a ocupar, en su orden, una curul en el Senado de la República y otra en la Cámara de Representantes, durante el periodo de estas corporaciones, e integrarán las comisiones primeras constitucionales de las respectivas cámaras. Terminados los escrutinios electorales, la autoridad electoral les expedirá las respectivas credenciales.</w:t>
      </w:r>
    </w:p>
    <w:p w14:paraId="6C029370" w14:textId="77777777" w:rsidR="00601BDA" w:rsidRPr="004138DD" w:rsidRDefault="00601BDA" w:rsidP="00601BDA">
      <w:pPr>
        <w:pBdr>
          <w:top w:val="nil"/>
          <w:left w:val="nil"/>
          <w:bottom w:val="nil"/>
          <w:right w:val="nil"/>
          <w:between w:val="nil"/>
        </w:pBdr>
        <w:spacing w:after="200" w:line="276" w:lineRule="auto"/>
        <w:ind w:left="426" w:right="333"/>
        <w:jc w:val="both"/>
        <w:rPr>
          <w:rFonts w:ascii="Arial" w:eastAsia="Bookman Old Style" w:hAnsi="Arial" w:cs="Arial"/>
          <w:i/>
          <w:color w:val="000000"/>
          <w:sz w:val="24"/>
          <w:szCs w:val="24"/>
        </w:rPr>
      </w:pPr>
      <w:r w:rsidRPr="004138DD">
        <w:rPr>
          <w:rFonts w:ascii="Arial" w:eastAsia="Bookman Old Style" w:hAnsi="Arial" w:cs="Arial"/>
          <w:i/>
          <w:color w:val="000000"/>
          <w:sz w:val="24"/>
          <w:szCs w:val="24"/>
        </w:rPr>
        <w:t>Quienes resultaren elegidos mediante esta fórmula, serán miembros adicionales de las actuales comisiones constitucionales permanentes del Senado de la República y de la Cámara de Representantes y, con la organización política a que pertenezcan, podrán intervenir en las opciones previstas en el artículo 6o de esta ley y harán parte de bancada de la misma organización política.</w:t>
      </w:r>
    </w:p>
    <w:p w14:paraId="39DF294C" w14:textId="77777777" w:rsidR="00601BDA" w:rsidRPr="004138DD" w:rsidRDefault="00601BDA" w:rsidP="00601BDA">
      <w:pPr>
        <w:pBdr>
          <w:top w:val="nil"/>
          <w:left w:val="nil"/>
          <w:bottom w:val="nil"/>
          <w:right w:val="nil"/>
          <w:between w:val="nil"/>
        </w:pBdr>
        <w:spacing w:after="200"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De lo anterior se desprende que la fórmula para </w:t>
      </w:r>
      <w:proofErr w:type="gramStart"/>
      <w:r w:rsidRPr="004138DD">
        <w:rPr>
          <w:rFonts w:ascii="Arial" w:eastAsia="Bookman Old Style" w:hAnsi="Arial" w:cs="Arial"/>
          <w:color w:val="000000"/>
          <w:sz w:val="24"/>
          <w:szCs w:val="24"/>
        </w:rPr>
        <w:t>Presidente</w:t>
      </w:r>
      <w:proofErr w:type="gramEnd"/>
      <w:r w:rsidRPr="004138DD">
        <w:rPr>
          <w:rFonts w:ascii="Arial" w:eastAsia="Bookman Old Style" w:hAnsi="Arial" w:cs="Arial"/>
          <w:color w:val="000000"/>
          <w:sz w:val="24"/>
          <w:szCs w:val="24"/>
        </w:rPr>
        <w:t xml:space="preserve"> y Vicepresidente que queden de segundos en votación tendrán derecho a ocupar un curul en el Senado y en la Cámara de Representantes respectivamente. Lo anterior no implicó la reducción en el número de curules para cada corporación, sino que, por el contrario, son adicionales a las existentes.</w:t>
      </w:r>
    </w:p>
    <w:p w14:paraId="41401AF5" w14:textId="77777777" w:rsidR="00601BDA" w:rsidRPr="004138DD" w:rsidRDefault="00601BDA" w:rsidP="00601BDA">
      <w:pPr>
        <w:pBdr>
          <w:top w:val="nil"/>
          <w:left w:val="nil"/>
          <w:bottom w:val="nil"/>
          <w:right w:val="nil"/>
          <w:between w:val="nil"/>
        </w:pBdr>
        <w:spacing w:after="200"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Siguiendo, el artículo 25 de la Ley 1909 trae lo que sigue:</w:t>
      </w:r>
    </w:p>
    <w:p w14:paraId="5356F462" w14:textId="77777777" w:rsidR="00601BDA" w:rsidRPr="004138DD" w:rsidRDefault="00601BDA" w:rsidP="00601BDA">
      <w:pPr>
        <w:pBdr>
          <w:top w:val="nil"/>
          <w:left w:val="nil"/>
          <w:bottom w:val="nil"/>
          <w:right w:val="nil"/>
          <w:between w:val="nil"/>
        </w:pBdr>
        <w:spacing w:after="200" w:line="276" w:lineRule="auto"/>
        <w:ind w:left="426" w:right="333"/>
        <w:jc w:val="both"/>
        <w:rPr>
          <w:rFonts w:ascii="Arial" w:eastAsia="Bookman Old Style" w:hAnsi="Arial" w:cs="Arial"/>
          <w:i/>
          <w:color w:val="000000"/>
          <w:sz w:val="24"/>
          <w:szCs w:val="24"/>
        </w:rPr>
      </w:pPr>
      <w:r w:rsidRPr="004138DD">
        <w:rPr>
          <w:rFonts w:ascii="Arial" w:eastAsia="Bookman Old Style" w:hAnsi="Arial" w:cs="Arial"/>
          <w:i/>
          <w:color w:val="000000"/>
          <w:sz w:val="24"/>
          <w:szCs w:val="24"/>
        </w:rPr>
        <w:t xml:space="preserve">Los candidatos que sigan en votos a quienes la autoridad electoral declare elegidos en los cargos de Gobernador de Departamento, </w:t>
      </w:r>
      <w:proofErr w:type="gramStart"/>
      <w:r w:rsidRPr="004138DD">
        <w:rPr>
          <w:rFonts w:ascii="Arial" w:eastAsia="Bookman Old Style" w:hAnsi="Arial" w:cs="Arial"/>
          <w:i/>
          <w:color w:val="000000"/>
          <w:sz w:val="24"/>
          <w:szCs w:val="24"/>
        </w:rPr>
        <w:t>Alcalde</w:t>
      </w:r>
      <w:proofErr w:type="gramEnd"/>
      <w:r w:rsidRPr="004138DD">
        <w:rPr>
          <w:rFonts w:ascii="Arial" w:eastAsia="Bookman Old Style" w:hAnsi="Arial" w:cs="Arial"/>
          <w:i/>
          <w:color w:val="000000"/>
          <w:sz w:val="24"/>
          <w:szCs w:val="24"/>
        </w:rPr>
        <w:t xml:space="preserve"> Distrital y Alcalde Municipal, tendrán derecho personal a ocupar, en su orden, una curul en las Asambleas Departamentales, Concejos Distritales y Concejos Municipales respectivos, durante el periodo de estas corporaciones. Con la organización política a que pertenezcan, podrán intervenir en las opciones previstas en el artículo 7o de esta ley y harán parte de la misma organización política.</w:t>
      </w:r>
    </w:p>
    <w:p w14:paraId="49EA231A" w14:textId="77777777" w:rsidR="00601BDA" w:rsidRPr="004138DD" w:rsidRDefault="00601BDA" w:rsidP="00601BDA">
      <w:pPr>
        <w:pBdr>
          <w:top w:val="nil"/>
          <w:left w:val="nil"/>
          <w:bottom w:val="nil"/>
          <w:right w:val="nil"/>
          <w:between w:val="nil"/>
        </w:pBdr>
        <w:spacing w:after="200" w:line="276" w:lineRule="auto"/>
        <w:ind w:left="426" w:right="333"/>
        <w:jc w:val="both"/>
        <w:rPr>
          <w:rFonts w:ascii="Arial" w:eastAsia="Bookman Old Style" w:hAnsi="Arial" w:cs="Arial"/>
          <w:i/>
          <w:color w:val="000000"/>
          <w:sz w:val="24"/>
          <w:szCs w:val="24"/>
        </w:rPr>
      </w:pPr>
      <w:r w:rsidRPr="004138DD">
        <w:rPr>
          <w:rFonts w:ascii="Arial" w:eastAsia="Bookman Old Style" w:hAnsi="Arial" w:cs="Arial"/>
          <w:i/>
          <w:color w:val="000000"/>
          <w:sz w:val="24"/>
          <w:szCs w:val="24"/>
        </w:rPr>
        <w:t xml:space="preserve">Posterior a la declaratoria de elección de los cargos de Gobernador, </w:t>
      </w:r>
      <w:proofErr w:type="gramStart"/>
      <w:r w:rsidRPr="004138DD">
        <w:rPr>
          <w:rFonts w:ascii="Arial" w:eastAsia="Bookman Old Style" w:hAnsi="Arial" w:cs="Arial"/>
          <w:i/>
          <w:color w:val="000000"/>
          <w:sz w:val="24"/>
          <w:szCs w:val="24"/>
        </w:rPr>
        <w:t>Alcalde</w:t>
      </w:r>
      <w:proofErr w:type="gramEnd"/>
      <w:r w:rsidRPr="004138DD">
        <w:rPr>
          <w:rFonts w:ascii="Arial" w:eastAsia="Bookman Old Style" w:hAnsi="Arial" w:cs="Arial"/>
          <w:i/>
          <w:color w:val="000000"/>
          <w:sz w:val="24"/>
          <w:szCs w:val="24"/>
        </w:rPr>
        <w:t xml:space="preserve"> Distrital y Municipal y previo a la de las Asambleas Departamentales y Concejos Distritales y Municipales respectivamente, los candidatos que ocuparon el segundo puesto en votación, deberán manifestar por escrito ante la comisión escrutadora competente, su decisión de aceptar o no una curul en las Asambleas Departamentales y </w:t>
      </w:r>
      <w:r w:rsidRPr="004138DD">
        <w:rPr>
          <w:rFonts w:ascii="Arial" w:eastAsia="Bookman Old Style" w:hAnsi="Arial" w:cs="Arial"/>
          <w:i/>
          <w:color w:val="000000"/>
          <w:sz w:val="24"/>
          <w:szCs w:val="24"/>
        </w:rPr>
        <w:lastRenderedPageBreak/>
        <w:t>Concejos Distritales y Municipales.</w:t>
      </w:r>
    </w:p>
    <w:p w14:paraId="36516B92" w14:textId="77777777" w:rsidR="00601BDA" w:rsidRPr="004138DD" w:rsidRDefault="00601BDA" w:rsidP="00601BDA">
      <w:pPr>
        <w:pBdr>
          <w:top w:val="nil"/>
          <w:left w:val="nil"/>
          <w:bottom w:val="nil"/>
          <w:right w:val="nil"/>
          <w:between w:val="nil"/>
        </w:pBdr>
        <w:spacing w:after="200" w:line="276" w:lineRule="auto"/>
        <w:ind w:left="426" w:right="333"/>
        <w:jc w:val="both"/>
        <w:rPr>
          <w:rFonts w:ascii="Arial" w:eastAsia="Bookman Old Style" w:hAnsi="Arial" w:cs="Arial"/>
          <w:i/>
          <w:color w:val="000000"/>
          <w:sz w:val="24"/>
          <w:szCs w:val="24"/>
        </w:rPr>
      </w:pPr>
      <w:r w:rsidRPr="004138DD">
        <w:rPr>
          <w:rFonts w:ascii="Arial" w:eastAsia="Bookman Old Style" w:hAnsi="Arial" w:cs="Arial"/>
          <w:i/>
          <w:color w:val="000000"/>
          <w:sz w:val="24"/>
          <w:szCs w:val="24"/>
        </w:rPr>
        <w:t xml:space="preserve">Otorgadas las credenciales a los gobernadores y alcaldes distritales y municipales, la autoridad electoral les expedirá, previa aceptación, las credenciales como diputados y concejales distritales y municipales a los que ocuparon los segundos puestos en la votación para los mismos cargos y aplicará la regla general prevista en el artículo 263 de la Constitución para la distribución de </w:t>
      </w:r>
      <w:proofErr w:type="gramStart"/>
      <w:r w:rsidRPr="004138DD">
        <w:rPr>
          <w:rFonts w:ascii="Arial" w:eastAsia="Bookman Old Style" w:hAnsi="Arial" w:cs="Arial"/>
          <w:i/>
          <w:color w:val="000000"/>
          <w:sz w:val="24"/>
          <w:szCs w:val="24"/>
        </w:rPr>
        <w:t>las curules restantes</w:t>
      </w:r>
      <w:proofErr w:type="gramEnd"/>
      <w:r w:rsidRPr="004138DD">
        <w:rPr>
          <w:rFonts w:ascii="Arial" w:eastAsia="Bookman Old Style" w:hAnsi="Arial" w:cs="Arial"/>
          <w:i/>
          <w:color w:val="000000"/>
          <w:sz w:val="24"/>
          <w:szCs w:val="24"/>
        </w:rPr>
        <w:t xml:space="preserve"> de Asambleas Departamentales y Concejos Distritales y Municipales.</w:t>
      </w:r>
    </w:p>
    <w:p w14:paraId="6C9892AF" w14:textId="77777777" w:rsidR="00601BDA" w:rsidRPr="004138DD" w:rsidRDefault="00601BDA" w:rsidP="00601BDA">
      <w:pPr>
        <w:pBdr>
          <w:top w:val="nil"/>
          <w:left w:val="nil"/>
          <w:bottom w:val="nil"/>
          <w:right w:val="nil"/>
          <w:between w:val="nil"/>
        </w:pBdr>
        <w:spacing w:after="200" w:line="276" w:lineRule="auto"/>
        <w:ind w:left="426" w:right="333"/>
        <w:jc w:val="both"/>
        <w:rPr>
          <w:rFonts w:ascii="Arial" w:eastAsia="Bookman Old Style" w:hAnsi="Arial" w:cs="Arial"/>
          <w:i/>
          <w:color w:val="000000"/>
          <w:sz w:val="24"/>
          <w:szCs w:val="24"/>
        </w:rPr>
      </w:pPr>
      <w:r w:rsidRPr="004138DD">
        <w:rPr>
          <w:rFonts w:ascii="Arial" w:eastAsia="Bookman Old Style" w:hAnsi="Arial" w:cs="Arial"/>
          <w:i/>
          <w:color w:val="000000"/>
          <w:sz w:val="24"/>
          <w:szCs w:val="24"/>
        </w:rPr>
        <w:t>Si no hay aceptación de la curul se aplicará la regla general prevista en el artículo 263 de la Constitución Política para la distribución de todas las curules de Asambleas Departamentales y Concejos Distritales y Municipales por población.</w:t>
      </w:r>
    </w:p>
    <w:p w14:paraId="34402AD4" w14:textId="77777777" w:rsidR="00601BDA" w:rsidRPr="004138DD" w:rsidRDefault="00601BDA" w:rsidP="00601BDA">
      <w:pPr>
        <w:pBdr>
          <w:top w:val="nil"/>
          <w:left w:val="nil"/>
          <w:bottom w:val="nil"/>
          <w:right w:val="nil"/>
          <w:between w:val="nil"/>
        </w:pBdr>
        <w:spacing w:after="200" w:line="276" w:lineRule="auto"/>
        <w:ind w:right="333"/>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De la lectura del artículo 25 se concluye que, a diferencia de lo establece el artículo 24 de la misma norma, la curul en las corporaciones territoriales no son adicionales, sino que, en caso en el que el candidato perdedor en la elección a Gobernación o Alcaldía acepte, se resta una de las curules que estuvieron en disputa en la jornada electoral para que la misma pase al candidato perdedor y, en el evento en el que decida no aceptarla, quedarían intactas.</w:t>
      </w:r>
    </w:p>
    <w:p w14:paraId="1CB7C62F" w14:textId="77777777" w:rsidR="00601BDA" w:rsidRPr="004138DD" w:rsidRDefault="00601BDA" w:rsidP="00601BDA">
      <w:pPr>
        <w:pBdr>
          <w:top w:val="nil"/>
          <w:left w:val="nil"/>
          <w:bottom w:val="nil"/>
          <w:right w:val="nil"/>
          <w:between w:val="nil"/>
        </w:pBdr>
        <w:spacing w:after="200" w:line="276" w:lineRule="auto"/>
        <w:ind w:right="333"/>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En otras palabras, podríamos afirmar que en la jornada electoral los ciudadanos de un municipio que elige, por ejemplo, 13 curules en el Concejo municipal, votan para la conformación de su corporación, por un lado, y, por otro, manifiestan su voluntad para elegir a su Alcalde municipal, tan es así, que las listas tienen la posibilidad de inscribir hasta 13 candidatos por los cuales pueden decidir sufragar, sin embargo, esa decisión democrática en cabeza de los ciudadanos pasa a un segundo plano y quedaría sometida a una decisión personal de quien pierda la elección al cargo uninominal.</w:t>
      </w:r>
    </w:p>
    <w:p w14:paraId="513AB145" w14:textId="77777777" w:rsidR="00601BDA" w:rsidRPr="004138DD" w:rsidRDefault="00601BDA" w:rsidP="00601BDA">
      <w:pPr>
        <w:pBdr>
          <w:top w:val="nil"/>
          <w:left w:val="nil"/>
          <w:bottom w:val="nil"/>
          <w:right w:val="nil"/>
          <w:between w:val="nil"/>
        </w:pBdr>
        <w:spacing w:after="200" w:line="276" w:lineRule="auto"/>
        <w:ind w:right="333"/>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Con el artículo 2° de la Resolución 2276 de 2019, el Consejo Nacional Electoral estableció un plazo de 24 horas siguientes a la declaración de la elección a los cargos de Gobernador o Alcalde y, previo a la declaración de la elección de la Asamblea y Concejo, para que se manifieste la decisión de aceptar o no la curul en la corporación vía Estatuto de la Oposición, </w:t>
      </w:r>
      <w:r w:rsidRPr="004138DD">
        <w:rPr>
          <w:rFonts w:ascii="Arial" w:eastAsia="Bookman Old Style" w:hAnsi="Arial" w:cs="Arial"/>
          <w:b/>
          <w:color w:val="000000"/>
          <w:sz w:val="24"/>
          <w:szCs w:val="24"/>
          <w:u w:val="single"/>
        </w:rPr>
        <w:t>lo que nos lleva a afirmar que el derecho de los ciudadanos a ser representados por el concejal o diputado por el cual votaron está supeditado a una decisión individual de quien, sin haber participado propiamente en la elección de los integrantes de la corporación, quedó de segundo en la contienda en la que se elegía un cargo uninominal.</w:t>
      </w:r>
      <w:r w:rsidRPr="004138DD">
        <w:rPr>
          <w:rFonts w:ascii="Arial" w:eastAsia="Bookman Old Style" w:hAnsi="Arial" w:cs="Arial"/>
          <w:color w:val="000000"/>
          <w:sz w:val="24"/>
          <w:szCs w:val="24"/>
        </w:rPr>
        <w:t xml:space="preserve"> </w:t>
      </w:r>
    </w:p>
    <w:p w14:paraId="53AF86BF" w14:textId="77777777" w:rsidR="00601BDA" w:rsidRPr="004138DD" w:rsidRDefault="00601BDA" w:rsidP="00601BDA">
      <w:pPr>
        <w:pStyle w:val="Sinespaciado"/>
        <w:spacing w:line="276" w:lineRule="auto"/>
        <w:jc w:val="both"/>
        <w:rPr>
          <w:rFonts w:ascii="Arial" w:hAnsi="Arial" w:cs="Arial"/>
          <w:sz w:val="24"/>
          <w:szCs w:val="24"/>
        </w:rPr>
      </w:pPr>
      <w:r w:rsidRPr="004138DD">
        <w:rPr>
          <w:rFonts w:ascii="Arial" w:hAnsi="Arial" w:cs="Arial"/>
          <w:sz w:val="24"/>
          <w:szCs w:val="24"/>
        </w:rPr>
        <w:t xml:space="preserve">Identificada con claridad las causas, el 30 de agosto del año 2023 se radicó ante la Secretaría General de la Cámara de Representantes el Proyecto de Ley Estatutaria No. 184 de 2023 Cámara, autoría de las Representantes Karyme </w:t>
      </w:r>
      <w:proofErr w:type="spellStart"/>
      <w:r w:rsidRPr="004138DD">
        <w:rPr>
          <w:rFonts w:ascii="Arial" w:hAnsi="Arial" w:cs="Arial"/>
          <w:sz w:val="24"/>
          <w:szCs w:val="24"/>
        </w:rPr>
        <w:t>Adrana</w:t>
      </w:r>
      <w:proofErr w:type="spellEnd"/>
      <w:r w:rsidRPr="004138DD">
        <w:rPr>
          <w:rFonts w:ascii="Arial" w:hAnsi="Arial" w:cs="Arial"/>
          <w:sz w:val="24"/>
          <w:szCs w:val="24"/>
        </w:rPr>
        <w:t xml:space="preserve"> Cotes Martínez, Olga Beatriz González Correa, Flora Perdomo Andrade, Elizabeth Jay-</w:t>
      </w:r>
      <w:proofErr w:type="spellStart"/>
      <w:r w:rsidRPr="004138DD">
        <w:rPr>
          <w:rFonts w:ascii="Arial" w:hAnsi="Arial" w:cs="Arial"/>
          <w:sz w:val="24"/>
          <w:szCs w:val="24"/>
        </w:rPr>
        <w:t>Pang</w:t>
      </w:r>
      <w:proofErr w:type="spellEnd"/>
      <w:r w:rsidRPr="004138DD">
        <w:rPr>
          <w:rFonts w:ascii="Arial" w:hAnsi="Arial" w:cs="Arial"/>
          <w:sz w:val="24"/>
          <w:szCs w:val="24"/>
        </w:rPr>
        <w:t xml:space="preserve"> Díaz y Mónica </w:t>
      </w:r>
      <w:r w:rsidRPr="004138DD">
        <w:rPr>
          <w:rFonts w:ascii="Arial" w:hAnsi="Arial" w:cs="Arial"/>
          <w:sz w:val="24"/>
          <w:szCs w:val="24"/>
        </w:rPr>
        <w:lastRenderedPageBreak/>
        <w:t xml:space="preserve">Karina Bocanegra Pantoja. </w:t>
      </w:r>
    </w:p>
    <w:p w14:paraId="0FD12FB2" w14:textId="77777777" w:rsidR="00601BDA" w:rsidRPr="004138DD" w:rsidRDefault="00601BDA" w:rsidP="00601BDA">
      <w:pPr>
        <w:pStyle w:val="Sinespaciado"/>
        <w:spacing w:line="276" w:lineRule="auto"/>
        <w:jc w:val="both"/>
        <w:rPr>
          <w:rFonts w:ascii="Arial" w:hAnsi="Arial" w:cs="Arial"/>
          <w:sz w:val="24"/>
          <w:szCs w:val="24"/>
        </w:rPr>
      </w:pPr>
    </w:p>
    <w:p w14:paraId="671F7F20" w14:textId="77777777" w:rsidR="00601BDA" w:rsidRPr="004138DD" w:rsidRDefault="00601BDA" w:rsidP="00601BDA">
      <w:pPr>
        <w:pStyle w:val="Sinespaciado"/>
        <w:spacing w:line="276" w:lineRule="auto"/>
        <w:jc w:val="both"/>
        <w:rPr>
          <w:rFonts w:ascii="Arial" w:hAnsi="Arial" w:cs="Arial"/>
          <w:sz w:val="24"/>
          <w:szCs w:val="24"/>
        </w:rPr>
      </w:pPr>
      <w:r w:rsidRPr="004138DD">
        <w:rPr>
          <w:rFonts w:ascii="Arial" w:hAnsi="Arial" w:cs="Arial"/>
          <w:sz w:val="24"/>
          <w:szCs w:val="24"/>
        </w:rPr>
        <w:t xml:space="preserve">En sesión de la Comisión I Constitucional de la corporación, a pesar de escucharse varias voces a favor del objeto de la iniciativa, se decidió suspender el debate para encausar en debida forma la modificación correspondiente para evitar vicios de inconstitucionalidad, razón por la que se insiste en el propósito, pero esta vez mediante el presente Proyecto de Acto Legislativo, para posteriormente adecuar el estatuto de la oposición a las nuevas disposiciones constitucionales. </w:t>
      </w:r>
    </w:p>
    <w:p w14:paraId="3E5CE90F" w14:textId="77777777" w:rsidR="00601BDA" w:rsidRPr="004138DD" w:rsidRDefault="00601BDA" w:rsidP="00601BDA">
      <w:pPr>
        <w:pStyle w:val="Sinespaciado"/>
        <w:spacing w:line="276" w:lineRule="auto"/>
        <w:rPr>
          <w:rFonts w:ascii="Arial" w:hAnsi="Arial" w:cs="Arial"/>
          <w:sz w:val="24"/>
          <w:szCs w:val="24"/>
        </w:rPr>
      </w:pPr>
    </w:p>
    <w:p w14:paraId="0D65B6A6" w14:textId="77777777" w:rsidR="00601BDA" w:rsidRPr="004138DD" w:rsidRDefault="00601BDA" w:rsidP="00601BDA">
      <w:pPr>
        <w:pBdr>
          <w:top w:val="nil"/>
          <w:left w:val="nil"/>
          <w:bottom w:val="nil"/>
          <w:right w:val="nil"/>
          <w:between w:val="nil"/>
        </w:pBdr>
        <w:spacing w:after="200" w:line="276" w:lineRule="auto"/>
        <w:ind w:left="426"/>
        <w:jc w:val="both"/>
        <w:rPr>
          <w:rFonts w:ascii="Arial" w:eastAsia="Bookman Old Style" w:hAnsi="Arial" w:cs="Arial"/>
          <w:b/>
          <w:sz w:val="24"/>
          <w:szCs w:val="24"/>
        </w:rPr>
      </w:pPr>
      <w:r w:rsidRPr="004138DD">
        <w:rPr>
          <w:rFonts w:ascii="Arial" w:eastAsia="Bookman Old Style" w:hAnsi="Arial" w:cs="Arial"/>
          <w:b/>
          <w:sz w:val="24"/>
          <w:szCs w:val="24"/>
        </w:rPr>
        <w:t xml:space="preserve">4. </w:t>
      </w:r>
      <w:r w:rsidRPr="004138DD">
        <w:rPr>
          <w:rFonts w:ascii="Arial" w:eastAsia="Bookman Old Style" w:hAnsi="Arial" w:cs="Arial"/>
          <w:b/>
          <w:sz w:val="24"/>
          <w:szCs w:val="24"/>
          <w:u w:val="single"/>
        </w:rPr>
        <w:t xml:space="preserve">FUNDAMENTOS </w:t>
      </w:r>
    </w:p>
    <w:p w14:paraId="121CBBC0" w14:textId="77777777" w:rsidR="00601BDA" w:rsidRPr="004138DD" w:rsidRDefault="00601BDA" w:rsidP="00601BDA">
      <w:pPr>
        <w:spacing w:line="276" w:lineRule="auto"/>
        <w:jc w:val="both"/>
        <w:rPr>
          <w:rFonts w:ascii="Arial" w:hAnsi="Arial" w:cs="Arial"/>
          <w:sz w:val="24"/>
          <w:szCs w:val="24"/>
          <w:lang w:val="es-ES"/>
        </w:rPr>
      </w:pPr>
      <w:r w:rsidRPr="004138DD">
        <w:rPr>
          <w:rFonts w:ascii="Arial" w:hAnsi="Arial" w:cs="Arial"/>
          <w:sz w:val="24"/>
          <w:szCs w:val="24"/>
          <w:lang w:val="es-ES"/>
        </w:rPr>
        <w:t>Una atenta lectura a la Constitución del 91 nos permite concluir que el constituyente puso bastante énfasis en la participación democrática. Si leemos el artículo 1° encontramos que el texto constitucional define al Estado colombiano como un “Estado social de derecho, organizado en forma de República unitaria, descentralizada, con autonomía de sus entidades territoriales</w:t>
      </w:r>
      <w:r w:rsidRPr="004138DD">
        <w:rPr>
          <w:rFonts w:ascii="Arial" w:hAnsi="Arial" w:cs="Arial"/>
          <w:b/>
          <w:sz w:val="24"/>
          <w:szCs w:val="24"/>
          <w:u w:val="single"/>
          <w:lang w:val="es-ES"/>
        </w:rPr>
        <w:t>, democrática, participativa</w:t>
      </w:r>
      <w:r w:rsidRPr="004138DD">
        <w:rPr>
          <w:rFonts w:ascii="Arial" w:hAnsi="Arial" w:cs="Arial"/>
          <w:sz w:val="24"/>
          <w:szCs w:val="24"/>
          <w:lang w:val="es-ES"/>
        </w:rPr>
        <w:t xml:space="preserve"> y pluralista…” (Subrayado por el autor).</w:t>
      </w:r>
    </w:p>
    <w:p w14:paraId="735B6620" w14:textId="77777777" w:rsidR="00F25339" w:rsidRPr="004138DD" w:rsidRDefault="00F25339" w:rsidP="00601BDA">
      <w:pPr>
        <w:spacing w:line="276" w:lineRule="auto"/>
        <w:jc w:val="both"/>
        <w:rPr>
          <w:rFonts w:ascii="Arial" w:hAnsi="Arial" w:cs="Arial"/>
          <w:sz w:val="24"/>
          <w:szCs w:val="24"/>
          <w:lang w:val="es-ES"/>
        </w:rPr>
      </w:pPr>
    </w:p>
    <w:p w14:paraId="1469CE5E" w14:textId="77777777" w:rsidR="00601BDA" w:rsidRPr="004138DD" w:rsidRDefault="00601BDA" w:rsidP="00601BDA">
      <w:pPr>
        <w:spacing w:line="276" w:lineRule="auto"/>
        <w:jc w:val="both"/>
        <w:rPr>
          <w:rFonts w:ascii="Arial" w:hAnsi="Arial" w:cs="Arial"/>
          <w:sz w:val="24"/>
          <w:szCs w:val="24"/>
          <w:lang w:val="es-ES"/>
        </w:rPr>
      </w:pPr>
      <w:r w:rsidRPr="004138DD">
        <w:rPr>
          <w:rFonts w:ascii="Arial" w:hAnsi="Arial" w:cs="Arial"/>
          <w:sz w:val="24"/>
          <w:szCs w:val="24"/>
          <w:lang w:val="es-ES"/>
        </w:rPr>
        <w:t xml:space="preserve">Adicionalmente, el artículo 2° indica que uno de los fines del Estado es “facilitar la </w:t>
      </w:r>
      <w:r w:rsidRPr="004138DD">
        <w:rPr>
          <w:rFonts w:ascii="Arial" w:hAnsi="Arial" w:cs="Arial"/>
          <w:b/>
          <w:sz w:val="24"/>
          <w:szCs w:val="24"/>
          <w:u w:val="single"/>
          <w:lang w:val="es-ES"/>
        </w:rPr>
        <w:t>participación de todos</w:t>
      </w:r>
      <w:r w:rsidRPr="004138DD">
        <w:rPr>
          <w:rFonts w:ascii="Arial" w:hAnsi="Arial" w:cs="Arial"/>
          <w:sz w:val="24"/>
          <w:szCs w:val="24"/>
          <w:lang w:val="es-ES"/>
        </w:rPr>
        <w:t xml:space="preserve"> en las decisiones que los afectan y en la vida económica, </w:t>
      </w:r>
      <w:r w:rsidRPr="004138DD">
        <w:rPr>
          <w:rFonts w:ascii="Arial" w:hAnsi="Arial" w:cs="Arial"/>
          <w:b/>
          <w:sz w:val="24"/>
          <w:szCs w:val="24"/>
          <w:lang w:val="es-ES"/>
        </w:rPr>
        <w:t>política,</w:t>
      </w:r>
      <w:r w:rsidRPr="004138DD">
        <w:rPr>
          <w:rFonts w:ascii="Arial" w:hAnsi="Arial" w:cs="Arial"/>
          <w:sz w:val="24"/>
          <w:szCs w:val="24"/>
          <w:lang w:val="es-ES"/>
        </w:rPr>
        <w:t xml:space="preserve"> administrativa y cultural de la Nación…” (Se resalta con negrillas).</w:t>
      </w:r>
    </w:p>
    <w:p w14:paraId="3A1E9FA0" w14:textId="77777777" w:rsidR="00601BDA" w:rsidRPr="004138DD" w:rsidRDefault="00601BDA" w:rsidP="00601BDA">
      <w:pPr>
        <w:spacing w:line="276" w:lineRule="auto"/>
        <w:jc w:val="both"/>
        <w:rPr>
          <w:rFonts w:ascii="Arial" w:hAnsi="Arial" w:cs="Arial"/>
          <w:sz w:val="24"/>
          <w:szCs w:val="24"/>
          <w:lang w:val="es-ES"/>
        </w:rPr>
      </w:pPr>
      <w:r w:rsidRPr="004138DD">
        <w:rPr>
          <w:rFonts w:ascii="Arial" w:hAnsi="Arial" w:cs="Arial"/>
          <w:sz w:val="24"/>
          <w:szCs w:val="24"/>
          <w:lang w:val="es-ES"/>
        </w:rPr>
        <w:t>Si seguimos leyendo, podemos encontrar artículos como el 38, que garantiza el derecho a la libre asociación; el artículo 40, que alberga el derecho fundamental a participar en la conformación, ejercicio y control del poder político, además de reconocerle a las personas el derecho a “Constituir partidos, movimientos y agrupaciones sin limitación alguna; formar parte de ellos libremente y difundir sus ideas y programas.”.</w:t>
      </w:r>
    </w:p>
    <w:p w14:paraId="43DE8ECC" w14:textId="77777777" w:rsidR="00F25339" w:rsidRPr="004138DD" w:rsidRDefault="00F25339" w:rsidP="00601BDA">
      <w:pPr>
        <w:spacing w:line="276" w:lineRule="auto"/>
        <w:jc w:val="both"/>
        <w:rPr>
          <w:rFonts w:ascii="Arial" w:hAnsi="Arial" w:cs="Arial"/>
          <w:sz w:val="24"/>
          <w:szCs w:val="24"/>
          <w:lang w:val="es-ES"/>
        </w:rPr>
      </w:pPr>
    </w:p>
    <w:p w14:paraId="4C190180" w14:textId="77777777" w:rsidR="00601BDA" w:rsidRPr="004138DD" w:rsidRDefault="00601BDA" w:rsidP="00601BDA">
      <w:pPr>
        <w:spacing w:line="276" w:lineRule="auto"/>
        <w:jc w:val="both"/>
        <w:rPr>
          <w:rFonts w:ascii="Arial" w:hAnsi="Arial" w:cs="Arial"/>
          <w:sz w:val="24"/>
          <w:szCs w:val="24"/>
          <w:lang w:val="es-ES"/>
        </w:rPr>
      </w:pPr>
      <w:r w:rsidRPr="004138DD">
        <w:rPr>
          <w:rFonts w:ascii="Arial" w:hAnsi="Arial" w:cs="Arial"/>
          <w:sz w:val="24"/>
          <w:szCs w:val="24"/>
          <w:lang w:val="es-ES"/>
        </w:rPr>
        <w:t>Pero el ordenamiento jurídico colombiano no solo se quedó con lo que estipuló la Constitución Política. Mediante Ley se le dio un importante desarrollo a la participación ciudadana, prueba de ello es la Ley 134 de 1994 que trae consigo mecanismos de participación la iniciativa popular legislativa y normativa, el referendo, la consulta popular en todos los órdenes, la revocatoria del mandato y el cabido abierto.</w:t>
      </w:r>
    </w:p>
    <w:p w14:paraId="765B59B9" w14:textId="77777777" w:rsidR="00F25339" w:rsidRPr="004138DD" w:rsidRDefault="00F25339" w:rsidP="00601BDA">
      <w:pPr>
        <w:spacing w:line="276" w:lineRule="auto"/>
        <w:jc w:val="both"/>
        <w:rPr>
          <w:rFonts w:ascii="Arial" w:hAnsi="Arial" w:cs="Arial"/>
          <w:sz w:val="24"/>
          <w:szCs w:val="24"/>
          <w:lang w:val="es-ES"/>
        </w:rPr>
      </w:pPr>
    </w:p>
    <w:p w14:paraId="298E0053" w14:textId="77777777" w:rsidR="00601BDA" w:rsidRPr="004138DD" w:rsidRDefault="00601BDA" w:rsidP="00601BDA">
      <w:pPr>
        <w:pStyle w:val="Sinespaciado"/>
        <w:spacing w:line="276" w:lineRule="auto"/>
        <w:jc w:val="both"/>
        <w:rPr>
          <w:rFonts w:ascii="Arial" w:hAnsi="Arial" w:cs="Arial"/>
          <w:sz w:val="24"/>
          <w:szCs w:val="24"/>
          <w:lang w:val="es-ES"/>
        </w:rPr>
      </w:pPr>
      <w:r w:rsidRPr="004138DD">
        <w:rPr>
          <w:rFonts w:ascii="Arial" w:hAnsi="Arial" w:cs="Arial"/>
          <w:sz w:val="24"/>
          <w:szCs w:val="24"/>
          <w:lang w:val="es-ES"/>
        </w:rPr>
        <w:t xml:space="preserve">La Corte Constitucional en sentencia C-342 de 2006 estableció que “El ciudadano es la persona titular de derechos políticos, y éstos a su vez se traducen, de conformidad con la Constitución, en la facultad de los nacionales para elegir y ser elegidos, tomar parte en elecciones, plebiscitos, referendos, consultas populares, cabildos abiertos, revocatorias de mandatos, constituir partidos, movimientos y agrupaciones políticas, formar parte de ellos libremente y difundir sus ideas y programas, promover acciones de inconstitucionalidad en defensa de la integridad y supremacía de la Constitución y, en fin, desempeñar cargos públicos. En tal sentido, el ciudadano es un elector, es decir, es titular del derecho a ejercer </w:t>
      </w:r>
      <w:r w:rsidRPr="004138DD">
        <w:rPr>
          <w:rFonts w:ascii="Arial" w:hAnsi="Arial" w:cs="Arial"/>
          <w:sz w:val="24"/>
          <w:szCs w:val="24"/>
          <w:lang w:val="es-ES"/>
        </w:rPr>
        <w:lastRenderedPageBreak/>
        <w:t>el sufragio, mediante el cual concurre en la conformación de las autoridades representativas del Estado.”</w:t>
      </w:r>
    </w:p>
    <w:p w14:paraId="47AF3C34" w14:textId="77777777" w:rsidR="00601BDA" w:rsidRPr="004138DD" w:rsidRDefault="00601BDA" w:rsidP="00601BDA">
      <w:pPr>
        <w:pStyle w:val="Sinespaciado"/>
        <w:spacing w:line="276" w:lineRule="auto"/>
        <w:jc w:val="both"/>
        <w:rPr>
          <w:rFonts w:ascii="Arial" w:hAnsi="Arial" w:cs="Arial"/>
          <w:sz w:val="24"/>
          <w:szCs w:val="24"/>
          <w:lang w:val="es-ES"/>
        </w:rPr>
      </w:pPr>
    </w:p>
    <w:p w14:paraId="28A57EBE" w14:textId="77777777" w:rsidR="00601BDA" w:rsidRPr="004138DD" w:rsidRDefault="00601BDA" w:rsidP="00601BDA">
      <w:pPr>
        <w:pStyle w:val="Sinespaciado"/>
        <w:spacing w:line="276" w:lineRule="auto"/>
        <w:jc w:val="both"/>
        <w:rPr>
          <w:rFonts w:ascii="Arial" w:hAnsi="Arial" w:cs="Arial"/>
          <w:iCs/>
          <w:sz w:val="24"/>
          <w:szCs w:val="24"/>
        </w:rPr>
      </w:pPr>
      <w:r w:rsidRPr="004138DD">
        <w:rPr>
          <w:rFonts w:ascii="Arial" w:hAnsi="Arial" w:cs="Arial"/>
          <w:sz w:val="24"/>
          <w:szCs w:val="24"/>
          <w:lang w:val="es-ES"/>
        </w:rPr>
        <w:t>La misma corte en sentencia T-261 de 1998, al desarrollar el tema del sufragio, indicó que “</w:t>
      </w:r>
      <w:r w:rsidRPr="004138DD">
        <w:rPr>
          <w:rFonts w:ascii="Arial" w:hAnsi="Arial" w:cs="Arial"/>
          <w:iCs/>
          <w:sz w:val="24"/>
          <w:szCs w:val="24"/>
        </w:rPr>
        <w:t xml:space="preserve">El desarrollo del derecho electoral desde el siglo XIX ha llevado a la formulación y aceptación general de cuatro principios clásicos del sufragio, de acuerdo con los cuales el voto debe ser universal, igual, directo y secreto. La categoría de universal significa que el voto es un derecho que le corresponde a todos los nacionales de un país, independientemente de su sexo, raza, ingresos y propiedades, educación, adscripción étnica, religión u orientación política. </w:t>
      </w:r>
      <w:r w:rsidRPr="004138DD">
        <w:rPr>
          <w:rFonts w:ascii="Arial" w:hAnsi="Arial" w:cs="Arial"/>
          <w:iCs/>
          <w:sz w:val="24"/>
          <w:szCs w:val="24"/>
          <w:u w:val="single"/>
        </w:rPr>
        <w:t>El derecho de sufragio responde al concepto de igualdad cuando los votos de todos los ciudadanos - sin importar, nuevamente, su condición social, económica, religiosa, política, etc. - tienen el mismo valor numérico para efectos de la distribución de las curules o cargos en disputa.”</w:t>
      </w:r>
      <w:r w:rsidRPr="004138DD">
        <w:rPr>
          <w:rFonts w:ascii="Arial" w:hAnsi="Arial" w:cs="Arial"/>
          <w:iCs/>
          <w:sz w:val="24"/>
          <w:szCs w:val="24"/>
        </w:rPr>
        <w:t xml:space="preserve"> (Subrayado fuera de texto).</w:t>
      </w:r>
    </w:p>
    <w:p w14:paraId="6FFC0F6B" w14:textId="77777777" w:rsidR="00601BDA" w:rsidRPr="004138DD" w:rsidRDefault="00601BDA" w:rsidP="00601BDA">
      <w:pPr>
        <w:pStyle w:val="Sinespaciado"/>
        <w:spacing w:line="276" w:lineRule="auto"/>
        <w:jc w:val="both"/>
        <w:rPr>
          <w:rFonts w:ascii="Arial" w:hAnsi="Arial" w:cs="Arial"/>
          <w:iCs/>
          <w:sz w:val="24"/>
          <w:szCs w:val="24"/>
        </w:rPr>
      </w:pPr>
    </w:p>
    <w:p w14:paraId="33E87841" w14:textId="77777777" w:rsidR="00601BDA" w:rsidRPr="004138DD" w:rsidRDefault="00601BDA" w:rsidP="00601BDA">
      <w:pPr>
        <w:pStyle w:val="Sinespaciado"/>
        <w:spacing w:line="276" w:lineRule="auto"/>
        <w:jc w:val="both"/>
        <w:rPr>
          <w:rFonts w:ascii="Arial" w:hAnsi="Arial" w:cs="Arial"/>
          <w:sz w:val="24"/>
          <w:szCs w:val="24"/>
          <w:lang w:val="es-ES"/>
        </w:rPr>
      </w:pPr>
      <w:r w:rsidRPr="004138DD">
        <w:rPr>
          <w:rFonts w:ascii="Arial" w:hAnsi="Arial" w:cs="Arial"/>
          <w:sz w:val="24"/>
          <w:szCs w:val="24"/>
          <w:lang w:val="es-ES"/>
        </w:rPr>
        <w:t xml:space="preserve">la Convención Americana de Derechos Humanos, también conocida como Pacto de San José de Costa Rica, aprobada por Colombia mediante la ley 16 de 1972, dispone en su artículo 23: </w:t>
      </w:r>
    </w:p>
    <w:p w14:paraId="785A1D2B" w14:textId="77777777" w:rsidR="00601BDA" w:rsidRPr="004138DD" w:rsidRDefault="00601BDA" w:rsidP="00601BDA">
      <w:pPr>
        <w:pStyle w:val="Sinespaciado"/>
        <w:spacing w:line="276" w:lineRule="auto"/>
        <w:jc w:val="both"/>
        <w:rPr>
          <w:rFonts w:ascii="Arial" w:hAnsi="Arial" w:cs="Arial"/>
          <w:sz w:val="24"/>
          <w:szCs w:val="24"/>
          <w:lang w:val="es-ES"/>
        </w:rPr>
      </w:pPr>
      <w:r w:rsidRPr="004138DD">
        <w:rPr>
          <w:rFonts w:ascii="Arial" w:hAnsi="Arial" w:cs="Arial"/>
          <w:sz w:val="24"/>
          <w:szCs w:val="24"/>
          <w:lang w:val="es-ES"/>
        </w:rPr>
        <w:t xml:space="preserve">“Artículo 23. Derechos políticos. </w:t>
      </w:r>
    </w:p>
    <w:p w14:paraId="341DE65E" w14:textId="77777777" w:rsidR="00601BDA" w:rsidRPr="004138DD" w:rsidRDefault="00601BDA" w:rsidP="00601BDA">
      <w:pPr>
        <w:pStyle w:val="Sinespaciado"/>
        <w:spacing w:line="276" w:lineRule="auto"/>
        <w:jc w:val="both"/>
        <w:rPr>
          <w:rFonts w:ascii="Arial" w:hAnsi="Arial" w:cs="Arial"/>
          <w:sz w:val="24"/>
          <w:szCs w:val="24"/>
          <w:lang w:val="es-ES"/>
        </w:rPr>
      </w:pPr>
    </w:p>
    <w:p w14:paraId="7A1B85C7" w14:textId="77777777" w:rsidR="00601BDA" w:rsidRPr="004138DD" w:rsidRDefault="00601BDA" w:rsidP="00601BDA">
      <w:pPr>
        <w:pStyle w:val="Sinespaciado"/>
        <w:spacing w:line="276" w:lineRule="auto"/>
        <w:jc w:val="both"/>
        <w:rPr>
          <w:rFonts w:ascii="Arial" w:hAnsi="Arial" w:cs="Arial"/>
          <w:sz w:val="24"/>
          <w:szCs w:val="24"/>
          <w:lang w:val="es-ES"/>
        </w:rPr>
      </w:pPr>
      <w:r w:rsidRPr="004138DD">
        <w:rPr>
          <w:rFonts w:ascii="Arial" w:hAnsi="Arial" w:cs="Arial"/>
          <w:sz w:val="24"/>
          <w:szCs w:val="24"/>
          <w:lang w:val="es-ES"/>
        </w:rPr>
        <w:t xml:space="preserve">“1. Todos los ciudadanos deben gozar de los siguientes derechos y oportunidades: </w:t>
      </w:r>
    </w:p>
    <w:p w14:paraId="0CE81723" w14:textId="77777777" w:rsidR="00601BDA" w:rsidRPr="004138DD" w:rsidRDefault="00601BDA" w:rsidP="00601BDA">
      <w:pPr>
        <w:pStyle w:val="Sinespaciado"/>
        <w:spacing w:line="276" w:lineRule="auto"/>
        <w:jc w:val="both"/>
        <w:rPr>
          <w:rFonts w:ascii="Arial" w:hAnsi="Arial" w:cs="Arial"/>
          <w:sz w:val="24"/>
          <w:szCs w:val="24"/>
          <w:lang w:val="es-ES"/>
        </w:rPr>
      </w:pPr>
    </w:p>
    <w:p w14:paraId="3ECC464C" w14:textId="77777777" w:rsidR="00601BDA" w:rsidRPr="004138DD" w:rsidRDefault="00601BDA" w:rsidP="00601BDA">
      <w:pPr>
        <w:pStyle w:val="Sinespaciado"/>
        <w:spacing w:line="276" w:lineRule="auto"/>
        <w:jc w:val="both"/>
        <w:rPr>
          <w:rFonts w:ascii="Arial" w:hAnsi="Arial" w:cs="Arial"/>
          <w:sz w:val="24"/>
          <w:szCs w:val="24"/>
          <w:lang w:val="es-ES"/>
        </w:rPr>
      </w:pPr>
      <w:r w:rsidRPr="004138DD">
        <w:rPr>
          <w:rFonts w:ascii="Arial" w:hAnsi="Arial" w:cs="Arial"/>
          <w:sz w:val="24"/>
          <w:szCs w:val="24"/>
          <w:lang w:val="es-ES"/>
        </w:rPr>
        <w:t>a) de participar en la dirección de los asuntos públicos, directamente o por medio de representantes libremente elegidos;</w:t>
      </w:r>
    </w:p>
    <w:p w14:paraId="3DB1AE5F" w14:textId="77777777" w:rsidR="00601BDA" w:rsidRPr="004138DD" w:rsidRDefault="00601BDA" w:rsidP="00601BDA">
      <w:pPr>
        <w:pStyle w:val="Sinespaciado"/>
        <w:spacing w:line="276" w:lineRule="auto"/>
        <w:jc w:val="both"/>
        <w:rPr>
          <w:rFonts w:ascii="Arial" w:hAnsi="Arial" w:cs="Arial"/>
          <w:sz w:val="24"/>
          <w:szCs w:val="24"/>
          <w:lang w:val="es-ES"/>
        </w:rPr>
      </w:pPr>
      <w:r w:rsidRPr="004138DD">
        <w:rPr>
          <w:rFonts w:ascii="Arial" w:hAnsi="Arial" w:cs="Arial"/>
          <w:sz w:val="24"/>
          <w:szCs w:val="24"/>
          <w:lang w:val="es-ES"/>
        </w:rPr>
        <w:t>b) de votar y ser elegidos en elecciones periódicas auténticas, realizadas por sufragio universal e igual y por voto secreto que garantice la libre expresión de la voluntad de los electores (...).”</w:t>
      </w:r>
    </w:p>
    <w:p w14:paraId="647B4767" w14:textId="77777777" w:rsidR="00601BDA" w:rsidRPr="004138DD" w:rsidRDefault="00601BDA" w:rsidP="00601BDA">
      <w:pPr>
        <w:pStyle w:val="Sinespaciado"/>
        <w:spacing w:line="276" w:lineRule="auto"/>
        <w:rPr>
          <w:rFonts w:ascii="Arial" w:hAnsi="Arial" w:cs="Arial"/>
          <w:sz w:val="24"/>
          <w:szCs w:val="24"/>
          <w:lang w:val="es-ES_tradnl"/>
        </w:rPr>
      </w:pPr>
    </w:p>
    <w:p w14:paraId="686F32E7" w14:textId="77777777" w:rsidR="00C773C4" w:rsidRPr="004138DD" w:rsidRDefault="00C773C4" w:rsidP="00C773C4">
      <w:pPr>
        <w:pStyle w:val="Sinespaciado"/>
        <w:numPr>
          <w:ilvl w:val="0"/>
          <w:numId w:val="9"/>
        </w:numPr>
        <w:spacing w:line="276" w:lineRule="auto"/>
        <w:rPr>
          <w:rFonts w:ascii="Arial" w:hAnsi="Arial" w:cs="Arial"/>
          <w:b/>
          <w:sz w:val="24"/>
          <w:szCs w:val="24"/>
          <w:lang w:val="es-ES_tradnl"/>
        </w:rPr>
      </w:pPr>
      <w:r w:rsidRPr="004138DD">
        <w:rPr>
          <w:rFonts w:ascii="Arial" w:hAnsi="Arial" w:cs="Arial"/>
          <w:b/>
          <w:sz w:val="24"/>
          <w:szCs w:val="24"/>
          <w:lang w:val="es-ES_tradnl"/>
        </w:rPr>
        <w:t>PLIEGO DE MODIFICACIONES</w:t>
      </w:r>
    </w:p>
    <w:p w14:paraId="0D00A4C2" w14:textId="77777777" w:rsidR="00C773C4" w:rsidRPr="004138DD" w:rsidRDefault="00C773C4" w:rsidP="00C773C4">
      <w:pPr>
        <w:pStyle w:val="Sinespaciado"/>
        <w:spacing w:line="276" w:lineRule="auto"/>
        <w:rPr>
          <w:rFonts w:ascii="Arial" w:hAnsi="Arial" w:cs="Arial"/>
          <w:b/>
          <w:sz w:val="24"/>
          <w:szCs w:val="24"/>
          <w:lang w:val="es-ES_tradnl"/>
        </w:rPr>
      </w:pPr>
    </w:p>
    <w:tbl>
      <w:tblPr>
        <w:tblStyle w:val="Tablaconcuadrcula"/>
        <w:tblW w:w="9960" w:type="dxa"/>
        <w:tblLook w:val="04A0" w:firstRow="1" w:lastRow="0" w:firstColumn="1" w:lastColumn="0" w:noHBand="0" w:noVBand="1"/>
      </w:tblPr>
      <w:tblGrid>
        <w:gridCol w:w="3320"/>
        <w:gridCol w:w="3320"/>
        <w:gridCol w:w="3320"/>
      </w:tblGrid>
      <w:tr w:rsidR="00C773C4" w:rsidRPr="004138DD" w14:paraId="5151F2B6" w14:textId="77777777" w:rsidTr="00C773C4">
        <w:trPr>
          <w:trHeight w:val="537"/>
        </w:trPr>
        <w:tc>
          <w:tcPr>
            <w:tcW w:w="3320" w:type="dxa"/>
          </w:tcPr>
          <w:p w14:paraId="6CBD5BF9" w14:textId="77777777" w:rsidR="00C773C4" w:rsidRPr="004138DD" w:rsidRDefault="00C773C4" w:rsidP="00C773C4">
            <w:pPr>
              <w:pStyle w:val="Sinespaciado"/>
              <w:spacing w:line="276" w:lineRule="auto"/>
              <w:jc w:val="center"/>
              <w:rPr>
                <w:rFonts w:ascii="Arial" w:hAnsi="Arial" w:cs="Arial"/>
                <w:b/>
                <w:sz w:val="20"/>
                <w:szCs w:val="20"/>
                <w:lang w:val="es-ES_tradnl"/>
              </w:rPr>
            </w:pPr>
            <w:r w:rsidRPr="004138DD">
              <w:rPr>
                <w:rFonts w:ascii="Arial" w:hAnsi="Arial" w:cs="Arial"/>
                <w:b/>
                <w:sz w:val="20"/>
                <w:szCs w:val="20"/>
                <w:lang w:val="es-ES_tradnl"/>
              </w:rPr>
              <w:t>Texto original en proyecto radicado</w:t>
            </w:r>
          </w:p>
        </w:tc>
        <w:tc>
          <w:tcPr>
            <w:tcW w:w="3320" w:type="dxa"/>
          </w:tcPr>
          <w:p w14:paraId="377E53D2" w14:textId="77777777" w:rsidR="00C773C4" w:rsidRPr="004138DD" w:rsidRDefault="00C773C4" w:rsidP="00C773C4">
            <w:pPr>
              <w:pStyle w:val="Sinespaciado"/>
              <w:spacing w:line="276" w:lineRule="auto"/>
              <w:jc w:val="center"/>
              <w:rPr>
                <w:rFonts w:ascii="Arial" w:hAnsi="Arial" w:cs="Arial"/>
                <w:b/>
                <w:sz w:val="20"/>
                <w:szCs w:val="20"/>
                <w:lang w:val="es-ES_tradnl"/>
              </w:rPr>
            </w:pPr>
            <w:r w:rsidRPr="004138DD">
              <w:rPr>
                <w:rFonts w:ascii="Arial" w:hAnsi="Arial" w:cs="Arial"/>
                <w:b/>
                <w:sz w:val="20"/>
                <w:szCs w:val="20"/>
                <w:lang w:val="es-ES_tradnl"/>
              </w:rPr>
              <w:t>Texto propuesto para primer debate</w:t>
            </w:r>
          </w:p>
        </w:tc>
        <w:tc>
          <w:tcPr>
            <w:tcW w:w="3320" w:type="dxa"/>
          </w:tcPr>
          <w:p w14:paraId="04627C94" w14:textId="77777777" w:rsidR="00C773C4" w:rsidRPr="004138DD" w:rsidRDefault="00C773C4" w:rsidP="00C773C4">
            <w:pPr>
              <w:pStyle w:val="Sinespaciado"/>
              <w:spacing w:line="276" w:lineRule="auto"/>
              <w:jc w:val="center"/>
              <w:rPr>
                <w:rFonts w:ascii="Arial" w:hAnsi="Arial" w:cs="Arial"/>
                <w:b/>
                <w:sz w:val="20"/>
                <w:szCs w:val="20"/>
                <w:lang w:val="es-ES_tradnl"/>
              </w:rPr>
            </w:pPr>
            <w:r w:rsidRPr="004138DD">
              <w:rPr>
                <w:rFonts w:ascii="Arial" w:hAnsi="Arial" w:cs="Arial"/>
                <w:b/>
                <w:sz w:val="20"/>
                <w:szCs w:val="20"/>
                <w:lang w:val="es-ES_tradnl"/>
              </w:rPr>
              <w:t>Descripción de la modificación</w:t>
            </w:r>
          </w:p>
        </w:tc>
      </w:tr>
      <w:tr w:rsidR="00C773C4" w:rsidRPr="004138DD" w14:paraId="75485A40" w14:textId="77777777" w:rsidTr="00C773C4">
        <w:trPr>
          <w:trHeight w:val="316"/>
        </w:trPr>
        <w:tc>
          <w:tcPr>
            <w:tcW w:w="3320" w:type="dxa"/>
          </w:tcPr>
          <w:p w14:paraId="4FD90BC1" w14:textId="77777777" w:rsidR="00C773C4" w:rsidRPr="004138DD" w:rsidRDefault="00C773C4" w:rsidP="00C773C4">
            <w:pPr>
              <w:pStyle w:val="Sinespaciado"/>
              <w:spacing w:line="276" w:lineRule="auto"/>
              <w:jc w:val="both"/>
              <w:rPr>
                <w:rFonts w:ascii="Arial" w:hAnsi="Arial" w:cs="Arial"/>
                <w:b/>
                <w:sz w:val="20"/>
                <w:szCs w:val="20"/>
                <w:lang w:val="es-ES_tradnl"/>
              </w:rPr>
            </w:pPr>
            <w:r w:rsidRPr="004138DD">
              <w:rPr>
                <w:rFonts w:ascii="Arial" w:hAnsi="Arial" w:cs="Arial"/>
                <w:b/>
                <w:smallCaps/>
                <w:sz w:val="20"/>
                <w:szCs w:val="20"/>
              </w:rPr>
              <w:t xml:space="preserve">ARTÍCULO 1. OBJETO. </w:t>
            </w:r>
            <w:r w:rsidRPr="004138DD">
              <w:rPr>
                <w:rFonts w:ascii="Arial" w:hAnsi="Arial" w:cs="Arial"/>
                <w:sz w:val="20"/>
                <w:szCs w:val="20"/>
              </w:rPr>
              <w:t>El presente proyecto tiene por objeto modificar el artículo 112 de la Constitución Política, como estrategia de protección del derecho de los ciudadanos a ser representados en las corporaciones de elección popular por quienes eligieron mediante el ejercicio del sufragio.</w:t>
            </w:r>
          </w:p>
        </w:tc>
        <w:tc>
          <w:tcPr>
            <w:tcW w:w="3320" w:type="dxa"/>
          </w:tcPr>
          <w:p w14:paraId="54A4CA92" w14:textId="77777777" w:rsidR="00C773C4" w:rsidRPr="004138DD" w:rsidRDefault="00C773C4" w:rsidP="00C773C4">
            <w:pPr>
              <w:pStyle w:val="Sinespaciado"/>
              <w:spacing w:line="276" w:lineRule="auto"/>
              <w:jc w:val="both"/>
              <w:rPr>
                <w:rFonts w:ascii="Arial" w:hAnsi="Arial" w:cs="Arial"/>
                <w:b/>
                <w:strike/>
                <w:sz w:val="20"/>
                <w:szCs w:val="20"/>
                <w:lang w:val="es-ES_tradnl"/>
              </w:rPr>
            </w:pPr>
            <w:r w:rsidRPr="004138DD">
              <w:rPr>
                <w:rFonts w:ascii="Arial" w:hAnsi="Arial" w:cs="Arial"/>
                <w:b/>
                <w:smallCaps/>
                <w:strike/>
                <w:sz w:val="20"/>
                <w:szCs w:val="20"/>
              </w:rPr>
              <w:t xml:space="preserve">ARTÍCULO 1. OBJETO. </w:t>
            </w:r>
            <w:r w:rsidRPr="004138DD">
              <w:rPr>
                <w:rFonts w:ascii="Arial" w:hAnsi="Arial" w:cs="Arial"/>
                <w:strike/>
                <w:sz w:val="20"/>
                <w:szCs w:val="20"/>
              </w:rPr>
              <w:t>El presente proyecto tiene por objeto modificar el artículo 112 de la Constitución Política, como estrategia de protección del derecho de los ciudadanos a ser representados en las corporaciones de elección popular por quienes eligieron mediante el ejercicio del sufragio.</w:t>
            </w:r>
          </w:p>
        </w:tc>
        <w:tc>
          <w:tcPr>
            <w:tcW w:w="3320" w:type="dxa"/>
          </w:tcPr>
          <w:p w14:paraId="50FC2C9D" w14:textId="77777777" w:rsidR="00C773C4" w:rsidRPr="004138DD" w:rsidRDefault="008C043C" w:rsidP="008C043C">
            <w:pPr>
              <w:pStyle w:val="Sinespaciado"/>
              <w:spacing w:line="276" w:lineRule="auto"/>
              <w:jc w:val="both"/>
              <w:rPr>
                <w:rFonts w:ascii="Arial" w:hAnsi="Arial" w:cs="Arial"/>
                <w:sz w:val="20"/>
                <w:szCs w:val="20"/>
                <w:lang w:val="es-ES_tradnl"/>
              </w:rPr>
            </w:pPr>
            <w:r w:rsidRPr="004138DD">
              <w:rPr>
                <w:rFonts w:ascii="Arial" w:hAnsi="Arial" w:cs="Arial"/>
                <w:sz w:val="20"/>
                <w:szCs w:val="20"/>
                <w:lang w:val="es-ES_tradnl"/>
              </w:rPr>
              <w:t xml:space="preserve">Por técnica legislativa se propone la eliminación de este artículo, toda vez que por error involuntario se </w:t>
            </w:r>
            <w:r w:rsidR="00D14D0D" w:rsidRPr="004138DD">
              <w:rPr>
                <w:rFonts w:ascii="Arial" w:hAnsi="Arial" w:cs="Arial"/>
                <w:sz w:val="20"/>
                <w:szCs w:val="20"/>
                <w:lang w:val="es-ES_tradnl"/>
              </w:rPr>
              <w:t>incluyó</w:t>
            </w:r>
            <w:r w:rsidRPr="004138DD">
              <w:rPr>
                <w:rFonts w:ascii="Arial" w:hAnsi="Arial" w:cs="Arial"/>
                <w:sz w:val="20"/>
                <w:szCs w:val="20"/>
                <w:lang w:val="es-ES_tradnl"/>
              </w:rPr>
              <w:t xml:space="preserve"> el objeto del proyecto en el </w:t>
            </w:r>
            <w:r w:rsidR="00D14D0D" w:rsidRPr="004138DD">
              <w:rPr>
                <w:rFonts w:ascii="Arial" w:hAnsi="Arial" w:cs="Arial"/>
                <w:sz w:val="20"/>
                <w:szCs w:val="20"/>
                <w:lang w:val="es-ES_tradnl"/>
              </w:rPr>
              <w:t>articulado</w:t>
            </w:r>
            <w:r w:rsidRPr="004138DD">
              <w:rPr>
                <w:rFonts w:ascii="Arial" w:hAnsi="Arial" w:cs="Arial"/>
                <w:sz w:val="20"/>
                <w:szCs w:val="20"/>
                <w:lang w:val="es-ES_tradnl"/>
              </w:rPr>
              <w:t>, cuando se acostumbra no hacerlo</w:t>
            </w:r>
            <w:r w:rsidR="00D14D0D" w:rsidRPr="004138DD">
              <w:rPr>
                <w:rFonts w:ascii="Arial" w:hAnsi="Arial" w:cs="Arial"/>
                <w:sz w:val="20"/>
                <w:szCs w:val="20"/>
                <w:lang w:val="es-ES_tradnl"/>
              </w:rPr>
              <w:t xml:space="preserve"> cuando se trata de actos legislativos. </w:t>
            </w:r>
          </w:p>
        </w:tc>
      </w:tr>
      <w:tr w:rsidR="00D14D0D" w:rsidRPr="004138DD" w14:paraId="3F5A0C77" w14:textId="77777777" w:rsidTr="00C773C4">
        <w:trPr>
          <w:trHeight w:val="332"/>
        </w:trPr>
        <w:tc>
          <w:tcPr>
            <w:tcW w:w="3320" w:type="dxa"/>
          </w:tcPr>
          <w:p w14:paraId="73BB3392" w14:textId="77777777" w:rsidR="00D14D0D" w:rsidRPr="004138DD" w:rsidRDefault="00D14D0D" w:rsidP="00D14D0D">
            <w:pPr>
              <w:jc w:val="both"/>
              <w:rPr>
                <w:rFonts w:ascii="Arial" w:hAnsi="Arial" w:cs="Arial"/>
                <w:sz w:val="20"/>
                <w:szCs w:val="20"/>
              </w:rPr>
            </w:pPr>
            <w:r w:rsidRPr="004138DD">
              <w:rPr>
                <w:rFonts w:ascii="Arial" w:hAnsi="Arial" w:cs="Arial"/>
                <w:b/>
                <w:smallCaps/>
                <w:sz w:val="20"/>
                <w:szCs w:val="20"/>
              </w:rPr>
              <w:lastRenderedPageBreak/>
              <w:t xml:space="preserve">ARTÍCULO 2. </w:t>
            </w:r>
            <w:r w:rsidRPr="004138DD">
              <w:rPr>
                <w:rFonts w:ascii="Arial" w:hAnsi="Arial" w:cs="Arial"/>
                <w:sz w:val="20"/>
                <w:szCs w:val="20"/>
              </w:rPr>
              <w:t>Modifíquese el artículo 112 de la Constitución Política, el cual quedará así:</w:t>
            </w:r>
          </w:p>
          <w:p w14:paraId="6FB65EA6"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b/>
                <w:sz w:val="20"/>
                <w:szCs w:val="20"/>
                <w:lang w:eastAsia="en-US"/>
              </w:rPr>
              <w:t>ARTÍCULO 112.</w:t>
            </w:r>
            <w:r w:rsidRPr="004138DD">
              <w:rPr>
                <w:rFonts w:ascii="Arial" w:eastAsiaTheme="minorHAnsi" w:hAnsi="Arial" w:cs="Arial"/>
                <w:sz w:val="20"/>
                <w:szCs w:val="20"/>
                <w:lang w:eastAsia="en-US"/>
              </w:rPr>
              <w:t>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4259F4D3"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1012197F"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Los partidos y movimientos minoritarios con personería jurídica tendrán derecho a participar en las mesas directivas de los cuerpos colegiados, según su representación en ellos.</w:t>
            </w:r>
          </w:p>
          <w:p w14:paraId="2168E49F"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5017662D"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Una ley estatutaria reglamentará íntegramente la materia.</w:t>
            </w:r>
          </w:p>
          <w:p w14:paraId="2CB7B1F4"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1E329CCF"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 xml:space="preserve">El candidato que le siga en votos a quien la autoridad electoral declare elegido en el cargo de </w:t>
            </w:r>
            <w:proofErr w:type="gramStart"/>
            <w:r w:rsidRPr="004138DD">
              <w:rPr>
                <w:rFonts w:ascii="Arial" w:eastAsiaTheme="minorHAnsi" w:hAnsi="Arial" w:cs="Arial"/>
                <w:sz w:val="20"/>
                <w:szCs w:val="20"/>
                <w:lang w:eastAsia="en-US"/>
              </w:rPr>
              <w:t>Presidente</w:t>
            </w:r>
            <w:proofErr w:type="gramEnd"/>
            <w:r w:rsidRPr="004138DD">
              <w:rPr>
                <w:rFonts w:ascii="Arial" w:eastAsiaTheme="minorHAnsi" w:hAnsi="Arial" w:cs="Arial"/>
                <w:sz w:val="20"/>
                <w:szCs w:val="20"/>
                <w:lang w:eastAsia="en-US"/>
              </w:rPr>
              <w:t xml:space="preserve"> y Vicepresidente de la República, Gobernador de Departamento, Alcalde Distrital y Alcalde municipal tendrá el derecho personal a ocupar una curul en el Senado, Cámara de </w:t>
            </w:r>
            <w:r w:rsidRPr="004138DD">
              <w:rPr>
                <w:rFonts w:ascii="Arial" w:eastAsiaTheme="minorHAnsi" w:hAnsi="Arial" w:cs="Arial"/>
                <w:sz w:val="20"/>
                <w:szCs w:val="20"/>
                <w:lang w:eastAsia="en-US"/>
              </w:rPr>
              <w:lastRenderedPageBreak/>
              <w:t>Representantes, Asamblea Departamental, Concejo Distrital y Concejo Municipal, respectivamente, durante el período de la correspondiente corporación.</w:t>
            </w:r>
          </w:p>
          <w:p w14:paraId="16B66966"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6EF62A5F"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 xml:space="preserve">Las curules </w:t>
            </w:r>
            <w:r w:rsidRPr="004138DD">
              <w:rPr>
                <w:rFonts w:ascii="Arial" w:eastAsiaTheme="minorHAnsi" w:hAnsi="Arial" w:cs="Arial"/>
                <w:strike/>
                <w:sz w:val="20"/>
                <w:szCs w:val="20"/>
                <w:lang w:eastAsia="en-US"/>
              </w:rPr>
              <w:t>así</w:t>
            </w:r>
            <w:r w:rsidRPr="004138DD">
              <w:rPr>
                <w:rFonts w:ascii="Arial" w:eastAsiaTheme="minorHAnsi" w:hAnsi="Arial" w:cs="Arial"/>
                <w:sz w:val="20"/>
                <w:szCs w:val="20"/>
                <w:lang w:eastAsia="en-US"/>
              </w:rPr>
              <w:t xml:space="preserve"> asignadas </w:t>
            </w:r>
            <w:r w:rsidRPr="004138DD">
              <w:rPr>
                <w:rFonts w:ascii="Arial" w:eastAsiaTheme="minorHAnsi" w:hAnsi="Arial" w:cs="Arial"/>
                <w:b/>
                <w:sz w:val="20"/>
                <w:szCs w:val="20"/>
                <w:u w:val="single"/>
                <w:lang w:eastAsia="en-US"/>
              </w:rPr>
              <w:t>de las que trata el inciso anterior</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en el Senado de la República y en la Cámara de Representantes</w:t>
            </w:r>
            <w:r w:rsidRPr="004138DD">
              <w:rPr>
                <w:rFonts w:ascii="Arial" w:eastAsiaTheme="minorHAnsi" w:hAnsi="Arial" w:cs="Arial"/>
                <w:sz w:val="20"/>
                <w:szCs w:val="20"/>
                <w:lang w:eastAsia="en-US"/>
              </w:rPr>
              <w:t xml:space="preserve"> serán adicionales a las previstas en los artículos 171</w:t>
            </w:r>
            <w:r w:rsidRPr="004138DD">
              <w:rPr>
                <w:rFonts w:ascii="Arial" w:eastAsiaTheme="minorHAnsi" w:hAnsi="Arial" w:cs="Arial"/>
                <w:b/>
                <w:sz w:val="20"/>
                <w:szCs w:val="20"/>
                <w:u w:val="single"/>
                <w:lang w:eastAsia="en-US"/>
              </w:rPr>
              <w:t>,</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y</w:t>
            </w:r>
            <w:r w:rsidRPr="004138DD">
              <w:rPr>
                <w:rFonts w:ascii="Arial" w:eastAsiaTheme="minorHAnsi" w:hAnsi="Arial" w:cs="Arial"/>
                <w:sz w:val="20"/>
                <w:szCs w:val="20"/>
                <w:lang w:eastAsia="en-US"/>
              </w:rPr>
              <w:t xml:space="preserve"> 176</w:t>
            </w:r>
            <w:r w:rsidRPr="004138DD">
              <w:rPr>
                <w:rFonts w:ascii="Arial" w:eastAsiaTheme="minorHAnsi" w:hAnsi="Arial" w:cs="Arial"/>
                <w:b/>
                <w:sz w:val="20"/>
                <w:szCs w:val="20"/>
                <w:u w:val="single"/>
                <w:lang w:eastAsia="en-US"/>
              </w:rPr>
              <w:t>, 299 y 312</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Las demás curules no aumentarán el número de miembros de dichas corporaciones.</w:t>
            </w:r>
          </w:p>
          <w:p w14:paraId="74C460D1"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2CC317C1"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 xml:space="preserve">En caso de no aceptación de la curul </w:t>
            </w:r>
            <w:r w:rsidRPr="004138DD">
              <w:rPr>
                <w:rFonts w:ascii="Arial" w:eastAsiaTheme="minorHAnsi" w:hAnsi="Arial" w:cs="Arial"/>
                <w:b/>
                <w:sz w:val="20"/>
                <w:szCs w:val="20"/>
                <w:u w:val="single"/>
                <w:lang w:eastAsia="en-US"/>
              </w:rPr>
              <w:t>adicional,</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en las corporaciones públicas de las entidades territoriales,</w:t>
            </w:r>
            <w:r w:rsidRPr="004138DD">
              <w:rPr>
                <w:rFonts w:ascii="Arial" w:eastAsiaTheme="minorHAnsi" w:hAnsi="Arial" w:cs="Arial"/>
                <w:sz w:val="20"/>
                <w:szCs w:val="20"/>
                <w:lang w:eastAsia="en-US"/>
              </w:rPr>
              <w:t xml:space="preserve"> la misma </w:t>
            </w:r>
            <w:r w:rsidRPr="004138DD">
              <w:rPr>
                <w:rFonts w:ascii="Arial" w:eastAsiaTheme="minorHAnsi" w:hAnsi="Arial" w:cs="Arial"/>
                <w:b/>
                <w:sz w:val="20"/>
                <w:szCs w:val="20"/>
                <w:u w:val="single"/>
                <w:lang w:eastAsia="en-US"/>
              </w:rPr>
              <w:t>no podrá ser asignada a quien no ostente la calidad indicada en el inciso cuarto del presente artículo.</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se asignará de acuerdo con la regla general de asignación de curules prevista en el artículo 263.</w:t>
            </w:r>
          </w:p>
          <w:p w14:paraId="53731B42"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01E98C25"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b/>
                <w:bCs/>
                <w:sz w:val="20"/>
                <w:szCs w:val="20"/>
                <w:lang w:eastAsia="en-US"/>
              </w:rPr>
              <w:t>PARÁGRAFO TRANSITORIO.</w:t>
            </w:r>
            <w:r w:rsidRPr="004138DD">
              <w:rPr>
                <w:rFonts w:ascii="Arial" w:eastAsiaTheme="minorHAnsi" w:hAnsi="Arial" w:cs="Arial"/>
                <w:sz w:val="20"/>
                <w:szCs w:val="20"/>
                <w:lang w:eastAsia="en-US"/>
              </w:rPr>
              <w:t> La asignación de las curules mencionadas en este artículo no será aplicable para las elecciones celebradas en el año 2015.</w:t>
            </w:r>
          </w:p>
        </w:tc>
        <w:tc>
          <w:tcPr>
            <w:tcW w:w="3320" w:type="dxa"/>
          </w:tcPr>
          <w:p w14:paraId="77B220C2" w14:textId="77777777" w:rsidR="00D14D0D" w:rsidRPr="004138DD" w:rsidRDefault="00D14D0D" w:rsidP="00D14D0D">
            <w:pPr>
              <w:jc w:val="both"/>
              <w:rPr>
                <w:rFonts w:ascii="Arial" w:hAnsi="Arial" w:cs="Arial"/>
                <w:sz w:val="20"/>
                <w:szCs w:val="20"/>
              </w:rPr>
            </w:pPr>
            <w:r w:rsidRPr="004138DD">
              <w:rPr>
                <w:rFonts w:ascii="Arial" w:hAnsi="Arial" w:cs="Arial"/>
                <w:b/>
                <w:smallCaps/>
                <w:sz w:val="20"/>
                <w:szCs w:val="20"/>
                <w:u w:val="single"/>
              </w:rPr>
              <w:lastRenderedPageBreak/>
              <w:t>ARTÍCULO 1.</w:t>
            </w:r>
            <w:r w:rsidRPr="004138DD">
              <w:rPr>
                <w:rFonts w:ascii="Arial" w:hAnsi="Arial" w:cs="Arial"/>
                <w:b/>
                <w:smallCaps/>
                <w:sz w:val="20"/>
                <w:szCs w:val="20"/>
              </w:rPr>
              <w:t xml:space="preserve"> </w:t>
            </w:r>
            <w:r w:rsidRPr="004138DD">
              <w:rPr>
                <w:rFonts w:ascii="Arial" w:hAnsi="Arial" w:cs="Arial"/>
                <w:sz w:val="20"/>
                <w:szCs w:val="20"/>
              </w:rPr>
              <w:t>Modifíquese el artículo 112 de la Constitución Política, el cual quedará así:</w:t>
            </w:r>
          </w:p>
          <w:p w14:paraId="079FB0F6"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b/>
                <w:sz w:val="20"/>
                <w:szCs w:val="20"/>
                <w:lang w:eastAsia="en-US"/>
              </w:rPr>
              <w:t>ARTÍCULO 112.</w:t>
            </w:r>
            <w:r w:rsidRPr="004138DD">
              <w:rPr>
                <w:rFonts w:ascii="Arial" w:eastAsiaTheme="minorHAnsi" w:hAnsi="Arial" w:cs="Arial"/>
                <w:sz w:val="20"/>
                <w:szCs w:val="20"/>
                <w:lang w:eastAsia="en-US"/>
              </w:rPr>
              <w:t>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145488F0"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0A16222D"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Los partidos y movimientos minoritarios con personería jurídica tendrán derecho a participar en las mesas directivas de los cuerpos colegiados, según su representación en ellos.</w:t>
            </w:r>
          </w:p>
          <w:p w14:paraId="0E29DAAA"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76B655B7"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Una ley estatutaria reglamentará íntegramente la materia.</w:t>
            </w:r>
          </w:p>
          <w:p w14:paraId="4C0342E5"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342A16F2"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 xml:space="preserve">El candidato que le siga en votos a quien la autoridad electoral declare elegido en el cargo de </w:t>
            </w:r>
            <w:proofErr w:type="gramStart"/>
            <w:r w:rsidRPr="004138DD">
              <w:rPr>
                <w:rFonts w:ascii="Arial" w:eastAsiaTheme="minorHAnsi" w:hAnsi="Arial" w:cs="Arial"/>
                <w:sz w:val="20"/>
                <w:szCs w:val="20"/>
                <w:lang w:eastAsia="en-US"/>
              </w:rPr>
              <w:t>Presidente</w:t>
            </w:r>
            <w:proofErr w:type="gramEnd"/>
            <w:r w:rsidRPr="004138DD">
              <w:rPr>
                <w:rFonts w:ascii="Arial" w:eastAsiaTheme="minorHAnsi" w:hAnsi="Arial" w:cs="Arial"/>
                <w:sz w:val="20"/>
                <w:szCs w:val="20"/>
                <w:lang w:eastAsia="en-US"/>
              </w:rPr>
              <w:t xml:space="preserve"> y Vicepresidente de la República, Gobernador de Departamento, Alcalde Distrital y Alcalde municipal tendrá el derecho personal a ocupar una curul en el Senado, Cámara de </w:t>
            </w:r>
            <w:r w:rsidRPr="004138DD">
              <w:rPr>
                <w:rFonts w:ascii="Arial" w:eastAsiaTheme="minorHAnsi" w:hAnsi="Arial" w:cs="Arial"/>
                <w:sz w:val="20"/>
                <w:szCs w:val="20"/>
                <w:lang w:eastAsia="en-US"/>
              </w:rPr>
              <w:lastRenderedPageBreak/>
              <w:t>Representantes, Asamblea Departamental, Concejo Distrital y Concejo Municipal, respectivamente, durante el período de la correspondiente corporación.</w:t>
            </w:r>
          </w:p>
          <w:p w14:paraId="4DBF0DE4"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3584C4B6"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 xml:space="preserve">Las curules </w:t>
            </w:r>
            <w:r w:rsidRPr="004138DD">
              <w:rPr>
                <w:rFonts w:ascii="Arial" w:eastAsiaTheme="minorHAnsi" w:hAnsi="Arial" w:cs="Arial"/>
                <w:strike/>
                <w:sz w:val="20"/>
                <w:szCs w:val="20"/>
                <w:lang w:eastAsia="en-US"/>
              </w:rPr>
              <w:t>así</w:t>
            </w:r>
            <w:r w:rsidRPr="004138DD">
              <w:rPr>
                <w:rFonts w:ascii="Arial" w:eastAsiaTheme="minorHAnsi" w:hAnsi="Arial" w:cs="Arial"/>
                <w:sz w:val="20"/>
                <w:szCs w:val="20"/>
                <w:lang w:eastAsia="en-US"/>
              </w:rPr>
              <w:t xml:space="preserve"> asignadas </w:t>
            </w:r>
            <w:r w:rsidRPr="004138DD">
              <w:rPr>
                <w:rFonts w:ascii="Arial" w:eastAsiaTheme="minorHAnsi" w:hAnsi="Arial" w:cs="Arial"/>
                <w:b/>
                <w:sz w:val="20"/>
                <w:szCs w:val="20"/>
                <w:u w:val="single"/>
                <w:lang w:eastAsia="en-US"/>
              </w:rPr>
              <w:t>de las que trata el inciso anterior</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en el Senado de la República y en la Cámara de Representantes</w:t>
            </w:r>
            <w:r w:rsidRPr="004138DD">
              <w:rPr>
                <w:rFonts w:ascii="Arial" w:eastAsiaTheme="minorHAnsi" w:hAnsi="Arial" w:cs="Arial"/>
                <w:sz w:val="20"/>
                <w:szCs w:val="20"/>
                <w:lang w:eastAsia="en-US"/>
              </w:rPr>
              <w:t xml:space="preserve"> serán adicionales a las previstas en los artículos 171</w:t>
            </w:r>
            <w:r w:rsidRPr="004138DD">
              <w:rPr>
                <w:rFonts w:ascii="Arial" w:eastAsiaTheme="minorHAnsi" w:hAnsi="Arial" w:cs="Arial"/>
                <w:b/>
                <w:sz w:val="20"/>
                <w:szCs w:val="20"/>
                <w:u w:val="single"/>
                <w:lang w:eastAsia="en-US"/>
              </w:rPr>
              <w:t>,</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y</w:t>
            </w:r>
            <w:r w:rsidRPr="004138DD">
              <w:rPr>
                <w:rFonts w:ascii="Arial" w:eastAsiaTheme="minorHAnsi" w:hAnsi="Arial" w:cs="Arial"/>
                <w:sz w:val="20"/>
                <w:szCs w:val="20"/>
                <w:lang w:eastAsia="en-US"/>
              </w:rPr>
              <w:t xml:space="preserve"> 176</w:t>
            </w:r>
            <w:r w:rsidRPr="004138DD">
              <w:rPr>
                <w:rFonts w:ascii="Arial" w:eastAsiaTheme="minorHAnsi" w:hAnsi="Arial" w:cs="Arial"/>
                <w:b/>
                <w:sz w:val="20"/>
                <w:szCs w:val="20"/>
                <w:u w:val="single"/>
                <w:lang w:eastAsia="en-US"/>
              </w:rPr>
              <w:t>, 299 y 312</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Las demás curules no aumentarán el número de miembros de dichas corporaciones.</w:t>
            </w:r>
          </w:p>
          <w:p w14:paraId="417B4EA3"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328498DC"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sz w:val="20"/>
                <w:szCs w:val="20"/>
                <w:lang w:eastAsia="en-US"/>
              </w:rPr>
              <w:t xml:space="preserve">En caso de no aceptación de la curul </w:t>
            </w:r>
            <w:r w:rsidRPr="004138DD">
              <w:rPr>
                <w:rFonts w:ascii="Arial" w:eastAsiaTheme="minorHAnsi" w:hAnsi="Arial" w:cs="Arial"/>
                <w:b/>
                <w:sz w:val="20"/>
                <w:szCs w:val="20"/>
                <w:u w:val="single"/>
                <w:lang w:eastAsia="en-US"/>
              </w:rPr>
              <w:t>adicional,</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en las corporaciones públicas de las entidades territoriales,</w:t>
            </w:r>
            <w:r w:rsidRPr="004138DD">
              <w:rPr>
                <w:rFonts w:ascii="Arial" w:eastAsiaTheme="minorHAnsi" w:hAnsi="Arial" w:cs="Arial"/>
                <w:sz w:val="20"/>
                <w:szCs w:val="20"/>
                <w:lang w:eastAsia="en-US"/>
              </w:rPr>
              <w:t xml:space="preserve"> la misma </w:t>
            </w:r>
            <w:r w:rsidRPr="004138DD">
              <w:rPr>
                <w:rFonts w:ascii="Arial" w:eastAsiaTheme="minorHAnsi" w:hAnsi="Arial" w:cs="Arial"/>
                <w:b/>
                <w:sz w:val="20"/>
                <w:szCs w:val="20"/>
                <w:u w:val="single"/>
                <w:lang w:eastAsia="en-US"/>
              </w:rPr>
              <w:t>no podrá ser asignada a quien no ostente la calidad indicada en el inciso cuarto del presente artículo.</w:t>
            </w:r>
            <w:r w:rsidRPr="004138DD">
              <w:rPr>
                <w:rFonts w:ascii="Arial" w:eastAsiaTheme="minorHAnsi" w:hAnsi="Arial" w:cs="Arial"/>
                <w:sz w:val="20"/>
                <w:szCs w:val="20"/>
                <w:lang w:eastAsia="en-US"/>
              </w:rPr>
              <w:t xml:space="preserve"> </w:t>
            </w:r>
            <w:r w:rsidRPr="004138DD">
              <w:rPr>
                <w:rFonts w:ascii="Arial" w:eastAsiaTheme="minorHAnsi" w:hAnsi="Arial" w:cs="Arial"/>
                <w:strike/>
                <w:sz w:val="20"/>
                <w:szCs w:val="20"/>
                <w:lang w:eastAsia="en-US"/>
              </w:rPr>
              <w:t>se asignará de acuerdo con la regla general de asignación de curules prevista en el artículo 263.</w:t>
            </w:r>
          </w:p>
          <w:p w14:paraId="23E8FB01"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p>
          <w:p w14:paraId="3BF208FD" w14:textId="77777777" w:rsidR="00D14D0D" w:rsidRPr="004138DD" w:rsidRDefault="00D14D0D" w:rsidP="00D14D0D">
            <w:pPr>
              <w:pStyle w:val="NormalWeb"/>
              <w:shd w:val="clear" w:color="auto" w:fill="FFFFFF"/>
              <w:spacing w:before="0" w:beforeAutospacing="0" w:after="0" w:afterAutospacing="0"/>
              <w:ind w:left="284" w:right="333"/>
              <w:jc w:val="both"/>
              <w:rPr>
                <w:rFonts w:ascii="Arial" w:eastAsiaTheme="minorHAnsi" w:hAnsi="Arial" w:cs="Arial"/>
                <w:sz w:val="20"/>
                <w:szCs w:val="20"/>
                <w:lang w:eastAsia="en-US"/>
              </w:rPr>
            </w:pPr>
            <w:r w:rsidRPr="004138DD">
              <w:rPr>
                <w:rFonts w:ascii="Arial" w:eastAsiaTheme="minorHAnsi" w:hAnsi="Arial" w:cs="Arial"/>
                <w:b/>
                <w:bCs/>
                <w:sz w:val="20"/>
                <w:szCs w:val="20"/>
                <w:lang w:eastAsia="en-US"/>
              </w:rPr>
              <w:t>PARÁGRAFO TRANSITORIO.</w:t>
            </w:r>
            <w:r w:rsidRPr="004138DD">
              <w:rPr>
                <w:rFonts w:ascii="Arial" w:eastAsiaTheme="minorHAnsi" w:hAnsi="Arial" w:cs="Arial"/>
                <w:sz w:val="20"/>
                <w:szCs w:val="20"/>
                <w:lang w:eastAsia="en-US"/>
              </w:rPr>
              <w:t> La asignación de las curules mencionadas en este artículo no será aplicable para las elecciones celebradas en el año 2015.</w:t>
            </w:r>
          </w:p>
        </w:tc>
        <w:tc>
          <w:tcPr>
            <w:tcW w:w="3320" w:type="dxa"/>
          </w:tcPr>
          <w:p w14:paraId="4F4FB185" w14:textId="77777777" w:rsidR="00D14D0D" w:rsidRPr="004138DD" w:rsidRDefault="00D14D0D" w:rsidP="00D14D0D">
            <w:pPr>
              <w:pStyle w:val="Sinespaciado"/>
              <w:spacing w:line="276" w:lineRule="auto"/>
              <w:rPr>
                <w:rFonts w:ascii="Arial" w:hAnsi="Arial" w:cs="Arial"/>
                <w:sz w:val="20"/>
                <w:szCs w:val="20"/>
                <w:lang w:val="es-ES_tradnl"/>
              </w:rPr>
            </w:pPr>
            <w:r w:rsidRPr="004138DD">
              <w:rPr>
                <w:rFonts w:ascii="Arial" w:hAnsi="Arial" w:cs="Arial"/>
                <w:sz w:val="20"/>
                <w:szCs w:val="20"/>
                <w:lang w:val="es-ES_tradnl"/>
              </w:rPr>
              <w:lastRenderedPageBreak/>
              <w:t>Se corrige la numeración</w:t>
            </w:r>
          </w:p>
        </w:tc>
      </w:tr>
      <w:tr w:rsidR="00D14D0D" w:rsidRPr="004138DD" w14:paraId="0F83F56D" w14:textId="77777777" w:rsidTr="00C773C4">
        <w:trPr>
          <w:trHeight w:val="316"/>
        </w:trPr>
        <w:tc>
          <w:tcPr>
            <w:tcW w:w="3320" w:type="dxa"/>
          </w:tcPr>
          <w:p w14:paraId="7C9D0034" w14:textId="77777777" w:rsidR="00D14D0D" w:rsidRPr="004138DD" w:rsidRDefault="00D14D0D" w:rsidP="00D14D0D">
            <w:pPr>
              <w:jc w:val="both"/>
              <w:rPr>
                <w:rFonts w:ascii="Arial" w:hAnsi="Arial" w:cs="Arial"/>
                <w:sz w:val="20"/>
                <w:szCs w:val="20"/>
              </w:rPr>
            </w:pPr>
            <w:r w:rsidRPr="004138DD">
              <w:rPr>
                <w:rFonts w:ascii="Arial" w:hAnsi="Arial" w:cs="Arial"/>
                <w:b/>
                <w:smallCaps/>
                <w:sz w:val="20"/>
                <w:szCs w:val="20"/>
              </w:rPr>
              <w:t xml:space="preserve">ARTÍCULO 3. VIGENCIA Y APLICACIÓN. </w:t>
            </w:r>
            <w:r w:rsidRPr="004138DD">
              <w:rPr>
                <w:rFonts w:ascii="Arial" w:hAnsi="Arial" w:cs="Arial"/>
                <w:sz w:val="20"/>
                <w:szCs w:val="20"/>
              </w:rPr>
              <w:t>El presente Acto Legislativo rige a partir de su publicación.</w:t>
            </w:r>
          </w:p>
        </w:tc>
        <w:tc>
          <w:tcPr>
            <w:tcW w:w="3320" w:type="dxa"/>
          </w:tcPr>
          <w:p w14:paraId="2E1DB5F7" w14:textId="77777777" w:rsidR="00D14D0D" w:rsidRPr="004138DD" w:rsidRDefault="00D14D0D" w:rsidP="00D14D0D">
            <w:pPr>
              <w:pStyle w:val="Sinespaciado"/>
              <w:spacing w:line="276" w:lineRule="auto"/>
              <w:rPr>
                <w:rFonts w:ascii="Arial" w:hAnsi="Arial" w:cs="Arial"/>
                <w:b/>
                <w:sz w:val="20"/>
                <w:szCs w:val="20"/>
                <w:lang w:val="es-ES_tradnl"/>
              </w:rPr>
            </w:pPr>
            <w:r w:rsidRPr="004138DD">
              <w:rPr>
                <w:rFonts w:ascii="Arial" w:hAnsi="Arial" w:cs="Arial"/>
                <w:b/>
                <w:smallCaps/>
                <w:sz w:val="20"/>
                <w:szCs w:val="20"/>
                <w:u w:val="single"/>
              </w:rPr>
              <w:t>ARTÍCULO 2.</w:t>
            </w:r>
            <w:r w:rsidRPr="004138DD">
              <w:rPr>
                <w:rFonts w:ascii="Arial" w:hAnsi="Arial" w:cs="Arial"/>
                <w:b/>
                <w:smallCaps/>
                <w:sz w:val="20"/>
                <w:szCs w:val="20"/>
              </w:rPr>
              <w:t xml:space="preserve"> VIGENCIA Y APLICACIÓN. </w:t>
            </w:r>
            <w:r w:rsidRPr="004138DD">
              <w:rPr>
                <w:rFonts w:ascii="Arial" w:hAnsi="Arial" w:cs="Arial"/>
                <w:sz w:val="20"/>
                <w:szCs w:val="20"/>
              </w:rPr>
              <w:t>El presente Acto Legislativo rige a partir de su publicación.</w:t>
            </w:r>
          </w:p>
        </w:tc>
        <w:tc>
          <w:tcPr>
            <w:tcW w:w="3320" w:type="dxa"/>
          </w:tcPr>
          <w:p w14:paraId="44DA8DEF" w14:textId="77777777" w:rsidR="00D14D0D" w:rsidRPr="004138DD" w:rsidRDefault="00D14D0D" w:rsidP="00D14D0D">
            <w:pPr>
              <w:pStyle w:val="Sinespaciado"/>
              <w:spacing w:line="276" w:lineRule="auto"/>
              <w:rPr>
                <w:rFonts w:ascii="Arial" w:hAnsi="Arial" w:cs="Arial"/>
                <w:sz w:val="20"/>
                <w:szCs w:val="20"/>
                <w:lang w:val="es-ES_tradnl"/>
              </w:rPr>
            </w:pPr>
            <w:r w:rsidRPr="004138DD">
              <w:rPr>
                <w:rFonts w:ascii="Arial" w:hAnsi="Arial" w:cs="Arial"/>
                <w:sz w:val="20"/>
                <w:szCs w:val="20"/>
                <w:lang w:val="es-ES_tradnl"/>
              </w:rPr>
              <w:t>Se corrige la numeración</w:t>
            </w:r>
          </w:p>
        </w:tc>
      </w:tr>
    </w:tbl>
    <w:p w14:paraId="546B03C7" w14:textId="77777777" w:rsidR="00C773C4" w:rsidRDefault="00C773C4" w:rsidP="00C773C4">
      <w:pPr>
        <w:pStyle w:val="Sinespaciado"/>
        <w:spacing w:line="276" w:lineRule="auto"/>
        <w:rPr>
          <w:rFonts w:ascii="Arial" w:hAnsi="Arial" w:cs="Arial"/>
          <w:b/>
          <w:sz w:val="24"/>
          <w:szCs w:val="24"/>
          <w:lang w:val="es-ES_tradnl"/>
        </w:rPr>
      </w:pPr>
    </w:p>
    <w:p w14:paraId="287CD770" w14:textId="77777777" w:rsidR="004138DD" w:rsidRDefault="004138DD" w:rsidP="00C773C4">
      <w:pPr>
        <w:pStyle w:val="Sinespaciado"/>
        <w:spacing w:line="276" w:lineRule="auto"/>
        <w:rPr>
          <w:rFonts w:ascii="Arial" w:hAnsi="Arial" w:cs="Arial"/>
          <w:b/>
          <w:sz w:val="24"/>
          <w:szCs w:val="24"/>
          <w:lang w:val="es-ES_tradnl"/>
        </w:rPr>
      </w:pPr>
    </w:p>
    <w:p w14:paraId="5861BDFA" w14:textId="3A9486FC" w:rsidR="004138DD" w:rsidRDefault="004138DD" w:rsidP="00C773C4">
      <w:pPr>
        <w:pStyle w:val="Sinespaciado"/>
        <w:spacing w:line="276" w:lineRule="auto"/>
        <w:rPr>
          <w:rFonts w:ascii="Arial" w:hAnsi="Arial" w:cs="Arial"/>
          <w:b/>
          <w:sz w:val="24"/>
          <w:szCs w:val="24"/>
          <w:lang w:val="es-ES_tradnl"/>
        </w:rPr>
      </w:pPr>
    </w:p>
    <w:p w14:paraId="6F0B3FFF" w14:textId="1DA2FA4C" w:rsidR="00C32621" w:rsidRDefault="00C32621" w:rsidP="00C773C4">
      <w:pPr>
        <w:pStyle w:val="Sinespaciado"/>
        <w:spacing w:line="276" w:lineRule="auto"/>
        <w:rPr>
          <w:rFonts w:ascii="Arial" w:hAnsi="Arial" w:cs="Arial"/>
          <w:b/>
          <w:sz w:val="24"/>
          <w:szCs w:val="24"/>
          <w:lang w:val="es-ES_tradnl"/>
        </w:rPr>
      </w:pPr>
    </w:p>
    <w:p w14:paraId="1068F560" w14:textId="259A2D75" w:rsidR="00C32621" w:rsidRDefault="00C32621" w:rsidP="00C773C4">
      <w:pPr>
        <w:pStyle w:val="Sinespaciado"/>
        <w:spacing w:line="276" w:lineRule="auto"/>
        <w:rPr>
          <w:rFonts w:ascii="Arial" w:hAnsi="Arial" w:cs="Arial"/>
          <w:b/>
          <w:sz w:val="24"/>
          <w:szCs w:val="24"/>
          <w:lang w:val="es-ES_tradnl"/>
        </w:rPr>
      </w:pPr>
    </w:p>
    <w:p w14:paraId="26CEA338" w14:textId="77777777" w:rsidR="00C32621" w:rsidRPr="004138DD" w:rsidRDefault="00C32621" w:rsidP="00C773C4">
      <w:pPr>
        <w:pStyle w:val="Sinespaciado"/>
        <w:spacing w:line="276" w:lineRule="auto"/>
        <w:rPr>
          <w:rFonts w:ascii="Arial" w:hAnsi="Arial" w:cs="Arial"/>
          <w:b/>
          <w:sz w:val="24"/>
          <w:szCs w:val="24"/>
          <w:lang w:val="es-ES_tradnl"/>
        </w:rPr>
      </w:pPr>
    </w:p>
    <w:p w14:paraId="38C1F4F1" w14:textId="77777777" w:rsidR="00C773C4" w:rsidRPr="004138DD" w:rsidRDefault="00C773C4" w:rsidP="00C773C4">
      <w:pPr>
        <w:pStyle w:val="Sinespaciado"/>
        <w:spacing w:line="276" w:lineRule="auto"/>
        <w:rPr>
          <w:rFonts w:ascii="Arial" w:hAnsi="Arial" w:cs="Arial"/>
          <w:b/>
          <w:sz w:val="24"/>
          <w:szCs w:val="24"/>
          <w:lang w:val="es-ES_tradnl"/>
        </w:rPr>
      </w:pPr>
    </w:p>
    <w:p w14:paraId="03DE8238" w14:textId="77777777" w:rsidR="00601BDA" w:rsidRPr="004138DD" w:rsidRDefault="00601BDA" w:rsidP="00601BDA">
      <w:pPr>
        <w:pStyle w:val="Prrafodelista"/>
        <w:widowControl/>
        <w:numPr>
          <w:ilvl w:val="0"/>
          <w:numId w:val="9"/>
        </w:numPr>
        <w:pBdr>
          <w:top w:val="nil"/>
          <w:left w:val="nil"/>
          <w:bottom w:val="nil"/>
          <w:right w:val="nil"/>
          <w:between w:val="nil"/>
        </w:pBdr>
        <w:autoSpaceDE/>
        <w:autoSpaceDN/>
        <w:spacing w:after="200" w:line="276" w:lineRule="auto"/>
        <w:jc w:val="both"/>
        <w:rPr>
          <w:rFonts w:ascii="Arial" w:eastAsia="Bookman Old Style" w:hAnsi="Arial" w:cs="Arial"/>
          <w:b/>
          <w:color w:val="000000"/>
          <w:sz w:val="24"/>
          <w:szCs w:val="24"/>
          <w:u w:val="single"/>
        </w:rPr>
      </w:pPr>
      <w:r w:rsidRPr="004138DD">
        <w:rPr>
          <w:rFonts w:ascii="Arial" w:eastAsia="Bookman Old Style" w:hAnsi="Arial" w:cs="Arial"/>
          <w:b/>
          <w:color w:val="000000"/>
          <w:sz w:val="24"/>
          <w:szCs w:val="24"/>
          <w:u w:val="single"/>
        </w:rPr>
        <w:lastRenderedPageBreak/>
        <w:t>IMPACTO FISCAL</w:t>
      </w:r>
    </w:p>
    <w:p w14:paraId="0A364875" w14:textId="77777777" w:rsidR="00601BDA" w:rsidRPr="004138DD" w:rsidRDefault="00601BDA" w:rsidP="00601BDA">
      <w:pPr>
        <w:pBdr>
          <w:top w:val="nil"/>
          <w:left w:val="nil"/>
          <w:bottom w:val="nil"/>
          <w:right w:val="nil"/>
          <w:between w:val="nil"/>
        </w:pBdr>
        <w:spacing w:after="200"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De los 1.102 municipios del país, 967 son de sexta categoría, es decir, casi el 90% de los municipios de Colombia son de la categoría más baja. Ahora bien, aplicando lo consagrado en el artículo 66 de la Ley 136 de 1994, modificado por la ley 1368 de 2009 y atendiendo a la categorización de los municipios que trae la Ley 617 de 2000, podríamos decir que un concejal de una corporación municipal de sexta categoría, con un número máximo de sesiones ordinarias de 70, apenas supera los 10 millones de pesos al año, valor que no suma más de 14 millones en caso en el que se lleve a cabo el número máximo de sesiones extraordinarias al año (20).</w:t>
      </w:r>
    </w:p>
    <w:p w14:paraId="5F866720" w14:textId="77777777" w:rsidR="00601BDA" w:rsidRPr="004138DD" w:rsidRDefault="00601BDA" w:rsidP="00601BDA">
      <w:pPr>
        <w:pBdr>
          <w:top w:val="nil"/>
          <w:left w:val="nil"/>
          <w:bottom w:val="nil"/>
          <w:right w:val="nil"/>
          <w:between w:val="nil"/>
        </w:pBdr>
        <w:spacing w:after="200"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Así las cosas, si se aplica la regla propuesta, el impacto en cada municipio es irrisorio. Más si se compara con los casi de 2.800 millones de pesos que cuestan anualmente los salarios básicos de las dos curules adicionales en el Congreso por el estatuto de la oposición sumado a lo que devengan sus unidades de trabajo legislativo (sin meter seguridad social de cada curul con sus UTL, esquemas de seguridad, tiquetes aéreos, camionetas, solo por mencionar ciertos aspectos que representan gastos).</w:t>
      </w:r>
    </w:p>
    <w:p w14:paraId="422F206D" w14:textId="77777777" w:rsidR="00601BDA" w:rsidRPr="004138DD" w:rsidRDefault="00601BDA" w:rsidP="00601BDA">
      <w:pPr>
        <w:spacing w:line="276" w:lineRule="auto"/>
        <w:jc w:val="both"/>
        <w:rPr>
          <w:rFonts w:ascii="Arial" w:eastAsia="Bookman Old Style" w:hAnsi="Arial" w:cs="Arial"/>
          <w:sz w:val="24"/>
          <w:szCs w:val="24"/>
        </w:rPr>
      </w:pPr>
      <w:r w:rsidRPr="004138DD">
        <w:rPr>
          <w:rFonts w:ascii="Arial" w:eastAsia="Bookman Old Style" w:hAnsi="Arial" w:cs="Arial"/>
          <w:sz w:val="24"/>
          <w:szCs w:val="24"/>
        </w:rPr>
        <w:t>El impacto para los municipios de quinta, cuarta y tercera categoría apenas superan los 14, 18 y 21 millones de pesos anuales para el caso se sesiones ordinarias. Las ciudades de categoría especial (6) y de primera y segunda categoría tienen mucha más capacidad económica para soportar un concejal más, en caso en el que el candidato al cargo uninominal perdedor decida aceptar la curul, y tampoco representa un gran impacto.</w:t>
      </w:r>
    </w:p>
    <w:p w14:paraId="24FBBB5C" w14:textId="77777777" w:rsidR="00601BDA" w:rsidRPr="004138DD" w:rsidRDefault="00601BDA" w:rsidP="00601BDA">
      <w:pPr>
        <w:pStyle w:val="Sinespaciado"/>
        <w:spacing w:line="276" w:lineRule="auto"/>
        <w:rPr>
          <w:rFonts w:ascii="Arial" w:hAnsi="Arial" w:cs="Arial"/>
          <w:sz w:val="24"/>
          <w:szCs w:val="24"/>
        </w:rPr>
      </w:pPr>
    </w:p>
    <w:tbl>
      <w:tblPr>
        <w:tblStyle w:val="Tablaconcuadrcula"/>
        <w:tblpPr w:leftFromText="141" w:rightFromText="141" w:vertAnchor="text" w:horzAnchor="margin" w:tblpXSpec="center" w:tblpY="114"/>
        <w:tblW w:w="8784" w:type="dxa"/>
        <w:tblLook w:val="04A0" w:firstRow="1" w:lastRow="0" w:firstColumn="1" w:lastColumn="0" w:noHBand="0" w:noVBand="1"/>
      </w:tblPr>
      <w:tblGrid>
        <w:gridCol w:w="1134"/>
        <w:gridCol w:w="1157"/>
        <w:gridCol w:w="1292"/>
        <w:gridCol w:w="1276"/>
        <w:gridCol w:w="1559"/>
        <w:gridCol w:w="1418"/>
        <w:gridCol w:w="992"/>
      </w:tblGrid>
      <w:tr w:rsidR="00601BDA" w:rsidRPr="004138DD" w14:paraId="541E280B" w14:textId="77777777" w:rsidTr="00C424EA">
        <w:trPr>
          <w:trHeight w:val="221"/>
        </w:trPr>
        <w:tc>
          <w:tcPr>
            <w:tcW w:w="1134" w:type="dxa"/>
            <w:noWrap/>
            <w:hideMark/>
          </w:tcPr>
          <w:p w14:paraId="684F7004" w14:textId="77777777" w:rsidR="00601BDA" w:rsidRPr="004138DD" w:rsidRDefault="00601BDA" w:rsidP="00601BDA">
            <w:pPr>
              <w:spacing w:line="276" w:lineRule="auto"/>
              <w:jc w:val="center"/>
              <w:rPr>
                <w:rFonts w:ascii="Arial" w:eastAsia="Bookman Old Style" w:hAnsi="Arial" w:cs="Arial"/>
                <w:b/>
                <w:bCs/>
                <w:sz w:val="18"/>
                <w:szCs w:val="18"/>
              </w:rPr>
            </w:pPr>
            <w:r w:rsidRPr="004138DD">
              <w:rPr>
                <w:rFonts w:ascii="Arial" w:eastAsia="Bookman Old Style" w:hAnsi="Arial" w:cs="Arial"/>
                <w:b/>
                <w:bCs/>
                <w:sz w:val="18"/>
                <w:szCs w:val="18"/>
              </w:rPr>
              <w:t>categoría</w:t>
            </w:r>
          </w:p>
        </w:tc>
        <w:tc>
          <w:tcPr>
            <w:tcW w:w="1113" w:type="dxa"/>
            <w:noWrap/>
            <w:hideMark/>
          </w:tcPr>
          <w:p w14:paraId="4A89411D" w14:textId="77777777" w:rsidR="00601BDA" w:rsidRPr="004138DD" w:rsidRDefault="00601BDA" w:rsidP="00601BDA">
            <w:pPr>
              <w:spacing w:line="276" w:lineRule="auto"/>
              <w:jc w:val="center"/>
              <w:rPr>
                <w:rFonts w:ascii="Arial" w:eastAsia="Bookman Old Style" w:hAnsi="Arial" w:cs="Arial"/>
                <w:b/>
                <w:bCs/>
                <w:sz w:val="18"/>
                <w:szCs w:val="18"/>
              </w:rPr>
            </w:pPr>
            <w:proofErr w:type="gramStart"/>
            <w:r w:rsidRPr="004138DD">
              <w:rPr>
                <w:rFonts w:ascii="Arial" w:eastAsia="Bookman Old Style" w:hAnsi="Arial" w:cs="Arial"/>
                <w:b/>
                <w:bCs/>
                <w:sz w:val="18"/>
                <w:szCs w:val="18"/>
              </w:rPr>
              <w:t>valor honorarios</w:t>
            </w:r>
            <w:proofErr w:type="gramEnd"/>
          </w:p>
        </w:tc>
        <w:tc>
          <w:tcPr>
            <w:tcW w:w="1292" w:type="dxa"/>
            <w:noWrap/>
            <w:hideMark/>
          </w:tcPr>
          <w:p w14:paraId="0E93D273" w14:textId="77777777" w:rsidR="00601BDA" w:rsidRPr="004138DD" w:rsidRDefault="00601BDA" w:rsidP="00601BDA">
            <w:pPr>
              <w:spacing w:line="276" w:lineRule="auto"/>
              <w:jc w:val="center"/>
              <w:rPr>
                <w:rFonts w:ascii="Arial" w:eastAsia="Bookman Old Style" w:hAnsi="Arial" w:cs="Arial"/>
                <w:b/>
                <w:bCs/>
                <w:sz w:val="18"/>
                <w:szCs w:val="18"/>
              </w:rPr>
            </w:pPr>
            <w:proofErr w:type="spellStart"/>
            <w:r w:rsidRPr="004138DD">
              <w:rPr>
                <w:rFonts w:ascii="Arial" w:eastAsia="Bookman Old Style" w:hAnsi="Arial" w:cs="Arial"/>
                <w:b/>
                <w:bCs/>
                <w:sz w:val="18"/>
                <w:szCs w:val="18"/>
              </w:rPr>
              <w:t>max</w:t>
            </w:r>
            <w:proofErr w:type="spellEnd"/>
            <w:r w:rsidRPr="004138DD">
              <w:rPr>
                <w:rFonts w:ascii="Arial" w:eastAsia="Bookman Old Style" w:hAnsi="Arial" w:cs="Arial"/>
                <w:b/>
                <w:bCs/>
                <w:sz w:val="18"/>
                <w:szCs w:val="18"/>
              </w:rPr>
              <w:t xml:space="preserve"> sesiones </w:t>
            </w:r>
            <w:proofErr w:type="spellStart"/>
            <w:r w:rsidRPr="004138DD">
              <w:rPr>
                <w:rFonts w:ascii="Arial" w:eastAsia="Bookman Old Style" w:hAnsi="Arial" w:cs="Arial"/>
                <w:b/>
                <w:bCs/>
                <w:sz w:val="18"/>
                <w:szCs w:val="18"/>
              </w:rPr>
              <w:t>ord</w:t>
            </w:r>
            <w:proofErr w:type="spellEnd"/>
          </w:p>
        </w:tc>
        <w:tc>
          <w:tcPr>
            <w:tcW w:w="1276" w:type="dxa"/>
            <w:noWrap/>
            <w:hideMark/>
          </w:tcPr>
          <w:p w14:paraId="57FD423E" w14:textId="77777777" w:rsidR="00601BDA" w:rsidRPr="004138DD" w:rsidRDefault="00601BDA" w:rsidP="00601BDA">
            <w:pPr>
              <w:spacing w:line="276" w:lineRule="auto"/>
              <w:jc w:val="center"/>
              <w:rPr>
                <w:rFonts w:ascii="Arial" w:eastAsia="Bookman Old Style" w:hAnsi="Arial" w:cs="Arial"/>
                <w:b/>
                <w:bCs/>
                <w:sz w:val="18"/>
                <w:szCs w:val="18"/>
              </w:rPr>
            </w:pPr>
            <w:proofErr w:type="spellStart"/>
            <w:r w:rsidRPr="004138DD">
              <w:rPr>
                <w:rFonts w:ascii="Arial" w:eastAsia="Bookman Old Style" w:hAnsi="Arial" w:cs="Arial"/>
                <w:b/>
                <w:bCs/>
                <w:sz w:val="18"/>
                <w:szCs w:val="18"/>
              </w:rPr>
              <w:t>max</w:t>
            </w:r>
            <w:proofErr w:type="spellEnd"/>
            <w:r w:rsidRPr="004138DD">
              <w:rPr>
                <w:rFonts w:ascii="Arial" w:eastAsia="Bookman Old Style" w:hAnsi="Arial" w:cs="Arial"/>
                <w:b/>
                <w:bCs/>
                <w:sz w:val="18"/>
                <w:szCs w:val="18"/>
              </w:rPr>
              <w:t xml:space="preserve"> sesiones </w:t>
            </w:r>
            <w:proofErr w:type="spellStart"/>
            <w:r w:rsidRPr="004138DD">
              <w:rPr>
                <w:rFonts w:ascii="Arial" w:eastAsia="Bookman Old Style" w:hAnsi="Arial" w:cs="Arial"/>
                <w:b/>
                <w:bCs/>
                <w:sz w:val="18"/>
                <w:szCs w:val="18"/>
              </w:rPr>
              <w:t>ext</w:t>
            </w:r>
            <w:proofErr w:type="spellEnd"/>
          </w:p>
        </w:tc>
        <w:tc>
          <w:tcPr>
            <w:tcW w:w="1559" w:type="dxa"/>
            <w:noWrap/>
            <w:hideMark/>
          </w:tcPr>
          <w:p w14:paraId="29E334C5" w14:textId="77777777" w:rsidR="00601BDA" w:rsidRPr="004138DD" w:rsidRDefault="00601BDA" w:rsidP="00601BDA">
            <w:pPr>
              <w:spacing w:line="276" w:lineRule="auto"/>
              <w:jc w:val="center"/>
              <w:rPr>
                <w:rFonts w:ascii="Arial" w:eastAsia="Bookman Old Style" w:hAnsi="Arial" w:cs="Arial"/>
                <w:b/>
                <w:bCs/>
                <w:sz w:val="18"/>
                <w:szCs w:val="18"/>
              </w:rPr>
            </w:pPr>
            <w:r w:rsidRPr="004138DD">
              <w:rPr>
                <w:rFonts w:ascii="Arial" w:eastAsia="Bookman Old Style" w:hAnsi="Arial" w:cs="Arial"/>
                <w:b/>
                <w:bCs/>
                <w:sz w:val="18"/>
                <w:szCs w:val="18"/>
              </w:rPr>
              <w:t xml:space="preserve">valor </w:t>
            </w:r>
            <w:proofErr w:type="spellStart"/>
            <w:r w:rsidRPr="004138DD">
              <w:rPr>
                <w:rFonts w:ascii="Arial" w:eastAsia="Bookman Old Style" w:hAnsi="Arial" w:cs="Arial"/>
                <w:b/>
                <w:bCs/>
                <w:sz w:val="18"/>
                <w:szCs w:val="18"/>
              </w:rPr>
              <w:t>max</w:t>
            </w:r>
            <w:proofErr w:type="spellEnd"/>
            <w:r w:rsidRPr="004138DD">
              <w:rPr>
                <w:rFonts w:ascii="Arial" w:eastAsia="Bookman Old Style" w:hAnsi="Arial" w:cs="Arial"/>
                <w:b/>
                <w:bCs/>
                <w:sz w:val="18"/>
                <w:szCs w:val="18"/>
              </w:rPr>
              <w:t xml:space="preserve"> x año </w:t>
            </w:r>
            <w:proofErr w:type="spellStart"/>
            <w:r w:rsidRPr="004138DD">
              <w:rPr>
                <w:rFonts w:ascii="Arial" w:eastAsia="Bookman Old Style" w:hAnsi="Arial" w:cs="Arial"/>
                <w:b/>
                <w:bCs/>
                <w:sz w:val="18"/>
                <w:szCs w:val="18"/>
              </w:rPr>
              <w:t>ord</w:t>
            </w:r>
            <w:proofErr w:type="spellEnd"/>
          </w:p>
        </w:tc>
        <w:tc>
          <w:tcPr>
            <w:tcW w:w="1418" w:type="dxa"/>
            <w:noWrap/>
            <w:hideMark/>
          </w:tcPr>
          <w:p w14:paraId="0C6C20CB" w14:textId="77777777" w:rsidR="00601BDA" w:rsidRPr="004138DD" w:rsidRDefault="00601BDA" w:rsidP="00601BDA">
            <w:pPr>
              <w:spacing w:line="276" w:lineRule="auto"/>
              <w:jc w:val="center"/>
              <w:rPr>
                <w:rFonts w:ascii="Arial" w:eastAsia="Bookman Old Style" w:hAnsi="Arial" w:cs="Arial"/>
                <w:b/>
                <w:bCs/>
                <w:sz w:val="18"/>
                <w:szCs w:val="18"/>
              </w:rPr>
            </w:pPr>
            <w:r w:rsidRPr="004138DD">
              <w:rPr>
                <w:rFonts w:ascii="Arial" w:eastAsia="Bookman Old Style" w:hAnsi="Arial" w:cs="Arial"/>
                <w:b/>
                <w:bCs/>
                <w:sz w:val="18"/>
                <w:szCs w:val="18"/>
              </w:rPr>
              <w:t xml:space="preserve">valor </w:t>
            </w:r>
            <w:proofErr w:type="spellStart"/>
            <w:r w:rsidRPr="004138DD">
              <w:rPr>
                <w:rFonts w:ascii="Arial" w:eastAsia="Bookman Old Style" w:hAnsi="Arial" w:cs="Arial"/>
                <w:b/>
                <w:bCs/>
                <w:sz w:val="18"/>
                <w:szCs w:val="18"/>
              </w:rPr>
              <w:t>max</w:t>
            </w:r>
            <w:proofErr w:type="spellEnd"/>
            <w:r w:rsidRPr="004138DD">
              <w:rPr>
                <w:rFonts w:ascii="Arial" w:eastAsia="Bookman Old Style" w:hAnsi="Arial" w:cs="Arial"/>
                <w:b/>
                <w:bCs/>
                <w:sz w:val="18"/>
                <w:szCs w:val="18"/>
              </w:rPr>
              <w:t xml:space="preserve"> x año </w:t>
            </w:r>
            <w:proofErr w:type="spellStart"/>
            <w:r w:rsidRPr="004138DD">
              <w:rPr>
                <w:rFonts w:ascii="Arial" w:eastAsia="Bookman Old Style" w:hAnsi="Arial" w:cs="Arial"/>
                <w:b/>
                <w:bCs/>
                <w:sz w:val="18"/>
                <w:szCs w:val="18"/>
              </w:rPr>
              <w:t>ext</w:t>
            </w:r>
            <w:proofErr w:type="spellEnd"/>
          </w:p>
        </w:tc>
        <w:tc>
          <w:tcPr>
            <w:tcW w:w="992" w:type="dxa"/>
            <w:noWrap/>
            <w:hideMark/>
          </w:tcPr>
          <w:p w14:paraId="2B32BA34" w14:textId="77777777" w:rsidR="00601BDA" w:rsidRPr="004138DD" w:rsidRDefault="00601BDA" w:rsidP="00601BDA">
            <w:pPr>
              <w:spacing w:line="276" w:lineRule="auto"/>
              <w:jc w:val="center"/>
              <w:rPr>
                <w:rFonts w:ascii="Arial" w:eastAsia="Bookman Old Style" w:hAnsi="Arial" w:cs="Arial"/>
                <w:b/>
                <w:bCs/>
                <w:sz w:val="18"/>
                <w:szCs w:val="18"/>
              </w:rPr>
            </w:pPr>
            <w:r w:rsidRPr="004138DD">
              <w:rPr>
                <w:rFonts w:ascii="Arial" w:eastAsia="Bookman Old Style" w:hAnsi="Arial" w:cs="Arial"/>
                <w:b/>
                <w:bCs/>
                <w:sz w:val="18"/>
                <w:szCs w:val="18"/>
              </w:rPr>
              <w:t xml:space="preserve">No. De </w:t>
            </w:r>
            <w:proofErr w:type="spellStart"/>
            <w:r w:rsidRPr="004138DD">
              <w:rPr>
                <w:rFonts w:ascii="Arial" w:eastAsia="Bookman Old Style" w:hAnsi="Arial" w:cs="Arial"/>
                <w:b/>
                <w:bCs/>
                <w:sz w:val="18"/>
                <w:szCs w:val="18"/>
              </w:rPr>
              <w:t>Mpios</w:t>
            </w:r>
            <w:proofErr w:type="spellEnd"/>
          </w:p>
        </w:tc>
      </w:tr>
      <w:tr w:rsidR="00601BDA" w:rsidRPr="004138DD" w14:paraId="5B6857DB" w14:textId="77777777" w:rsidTr="00C424EA">
        <w:trPr>
          <w:trHeight w:val="221"/>
        </w:trPr>
        <w:tc>
          <w:tcPr>
            <w:tcW w:w="1134" w:type="dxa"/>
            <w:noWrap/>
            <w:hideMark/>
          </w:tcPr>
          <w:p w14:paraId="23F30EF5" w14:textId="77777777" w:rsidR="00601BDA" w:rsidRPr="004138DD" w:rsidRDefault="00601BDA" w:rsidP="00601BDA">
            <w:pPr>
              <w:spacing w:line="276" w:lineRule="auto"/>
              <w:jc w:val="both"/>
              <w:rPr>
                <w:rFonts w:ascii="Arial" w:eastAsia="Bookman Old Style" w:hAnsi="Arial" w:cs="Arial"/>
                <w:sz w:val="18"/>
                <w:szCs w:val="18"/>
              </w:rPr>
            </w:pPr>
            <w:r w:rsidRPr="004138DD">
              <w:rPr>
                <w:rFonts w:ascii="Arial" w:eastAsia="Bookman Old Style" w:hAnsi="Arial" w:cs="Arial"/>
                <w:sz w:val="18"/>
                <w:szCs w:val="18"/>
              </w:rPr>
              <w:t>especial</w:t>
            </w:r>
          </w:p>
        </w:tc>
        <w:tc>
          <w:tcPr>
            <w:tcW w:w="1113" w:type="dxa"/>
            <w:noWrap/>
            <w:hideMark/>
          </w:tcPr>
          <w:p w14:paraId="3E918221"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$627.161</w:t>
            </w:r>
          </w:p>
        </w:tc>
        <w:tc>
          <w:tcPr>
            <w:tcW w:w="1292" w:type="dxa"/>
            <w:noWrap/>
            <w:hideMark/>
          </w:tcPr>
          <w:p w14:paraId="6F39FD82"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150</w:t>
            </w:r>
          </w:p>
        </w:tc>
        <w:tc>
          <w:tcPr>
            <w:tcW w:w="1276" w:type="dxa"/>
            <w:noWrap/>
            <w:hideMark/>
          </w:tcPr>
          <w:p w14:paraId="1EBF560C"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40</w:t>
            </w:r>
          </w:p>
        </w:tc>
        <w:tc>
          <w:tcPr>
            <w:tcW w:w="1559" w:type="dxa"/>
            <w:noWrap/>
            <w:hideMark/>
          </w:tcPr>
          <w:p w14:paraId="2D54BA8A"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$94.074.150</w:t>
            </w:r>
          </w:p>
        </w:tc>
        <w:tc>
          <w:tcPr>
            <w:tcW w:w="1418" w:type="dxa"/>
            <w:noWrap/>
            <w:hideMark/>
          </w:tcPr>
          <w:p w14:paraId="2685121B"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$25.086.440</w:t>
            </w:r>
          </w:p>
        </w:tc>
        <w:tc>
          <w:tcPr>
            <w:tcW w:w="992" w:type="dxa"/>
            <w:noWrap/>
            <w:hideMark/>
          </w:tcPr>
          <w:p w14:paraId="5A1464B5"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6</w:t>
            </w:r>
          </w:p>
        </w:tc>
      </w:tr>
      <w:tr w:rsidR="00601BDA" w:rsidRPr="004138DD" w14:paraId="650A6B30" w14:textId="77777777" w:rsidTr="00C424EA">
        <w:trPr>
          <w:trHeight w:val="221"/>
        </w:trPr>
        <w:tc>
          <w:tcPr>
            <w:tcW w:w="1134" w:type="dxa"/>
            <w:noWrap/>
            <w:hideMark/>
          </w:tcPr>
          <w:p w14:paraId="4CFF602C" w14:textId="77777777" w:rsidR="00601BDA" w:rsidRPr="004138DD" w:rsidRDefault="00601BDA" w:rsidP="00601BDA">
            <w:pPr>
              <w:spacing w:line="276" w:lineRule="auto"/>
              <w:jc w:val="both"/>
              <w:rPr>
                <w:rFonts w:ascii="Arial" w:eastAsia="Bookman Old Style" w:hAnsi="Arial" w:cs="Arial"/>
                <w:sz w:val="18"/>
                <w:szCs w:val="18"/>
              </w:rPr>
            </w:pPr>
            <w:r w:rsidRPr="004138DD">
              <w:rPr>
                <w:rFonts w:ascii="Arial" w:eastAsia="Bookman Old Style" w:hAnsi="Arial" w:cs="Arial"/>
                <w:sz w:val="18"/>
                <w:szCs w:val="18"/>
              </w:rPr>
              <w:t>primera</w:t>
            </w:r>
          </w:p>
        </w:tc>
        <w:tc>
          <w:tcPr>
            <w:tcW w:w="1113" w:type="dxa"/>
            <w:noWrap/>
            <w:hideMark/>
          </w:tcPr>
          <w:p w14:paraId="7C195C3C"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$531.399</w:t>
            </w:r>
          </w:p>
        </w:tc>
        <w:tc>
          <w:tcPr>
            <w:tcW w:w="1292" w:type="dxa"/>
            <w:noWrap/>
            <w:hideMark/>
          </w:tcPr>
          <w:p w14:paraId="73F46B58"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150</w:t>
            </w:r>
          </w:p>
        </w:tc>
        <w:tc>
          <w:tcPr>
            <w:tcW w:w="1276" w:type="dxa"/>
            <w:noWrap/>
            <w:hideMark/>
          </w:tcPr>
          <w:p w14:paraId="02C7116C"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40</w:t>
            </w:r>
          </w:p>
        </w:tc>
        <w:tc>
          <w:tcPr>
            <w:tcW w:w="1559" w:type="dxa"/>
            <w:noWrap/>
            <w:hideMark/>
          </w:tcPr>
          <w:p w14:paraId="29F418DA"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$79.70.9850</w:t>
            </w:r>
          </w:p>
        </w:tc>
        <w:tc>
          <w:tcPr>
            <w:tcW w:w="1418" w:type="dxa"/>
            <w:noWrap/>
            <w:hideMark/>
          </w:tcPr>
          <w:p w14:paraId="146A3B04"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$21.255.960</w:t>
            </w:r>
          </w:p>
        </w:tc>
        <w:tc>
          <w:tcPr>
            <w:tcW w:w="992" w:type="dxa"/>
            <w:noWrap/>
            <w:hideMark/>
          </w:tcPr>
          <w:p w14:paraId="4A66CE70"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27</w:t>
            </w:r>
          </w:p>
        </w:tc>
      </w:tr>
      <w:tr w:rsidR="00601BDA" w:rsidRPr="004138DD" w14:paraId="1EAC9130" w14:textId="77777777" w:rsidTr="00C424EA">
        <w:trPr>
          <w:trHeight w:val="221"/>
        </w:trPr>
        <w:tc>
          <w:tcPr>
            <w:tcW w:w="1134" w:type="dxa"/>
            <w:noWrap/>
            <w:hideMark/>
          </w:tcPr>
          <w:p w14:paraId="5BBEFBBC" w14:textId="77777777" w:rsidR="00601BDA" w:rsidRPr="004138DD" w:rsidRDefault="00601BDA" w:rsidP="00601BDA">
            <w:pPr>
              <w:spacing w:line="276" w:lineRule="auto"/>
              <w:jc w:val="both"/>
              <w:rPr>
                <w:rFonts w:ascii="Arial" w:eastAsia="Bookman Old Style" w:hAnsi="Arial" w:cs="Arial"/>
                <w:sz w:val="18"/>
                <w:szCs w:val="18"/>
              </w:rPr>
            </w:pPr>
            <w:r w:rsidRPr="004138DD">
              <w:rPr>
                <w:rFonts w:ascii="Arial" w:eastAsia="Bookman Old Style" w:hAnsi="Arial" w:cs="Arial"/>
                <w:sz w:val="18"/>
                <w:szCs w:val="18"/>
              </w:rPr>
              <w:t>segunda</w:t>
            </w:r>
          </w:p>
        </w:tc>
        <w:tc>
          <w:tcPr>
            <w:tcW w:w="1113" w:type="dxa"/>
            <w:noWrap/>
            <w:hideMark/>
          </w:tcPr>
          <w:p w14:paraId="48CC3955"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$384.103</w:t>
            </w:r>
          </w:p>
        </w:tc>
        <w:tc>
          <w:tcPr>
            <w:tcW w:w="1292" w:type="dxa"/>
            <w:noWrap/>
            <w:hideMark/>
          </w:tcPr>
          <w:p w14:paraId="5DC04A25"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150</w:t>
            </w:r>
          </w:p>
        </w:tc>
        <w:tc>
          <w:tcPr>
            <w:tcW w:w="1276" w:type="dxa"/>
            <w:noWrap/>
            <w:hideMark/>
          </w:tcPr>
          <w:p w14:paraId="34E9463C"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40</w:t>
            </w:r>
          </w:p>
        </w:tc>
        <w:tc>
          <w:tcPr>
            <w:tcW w:w="1559" w:type="dxa"/>
            <w:noWrap/>
            <w:hideMark/>
          </w:tcPr>
          <w:p w14:paraId="743828A3"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$57.615.450</w:t>
            </w:r>
          </w:p>
        </w:tc>
        <w:tc>
          <w:tcPr>
            <w:tcW w:w="1418" w:type="dxa"/>
            <w:noWrap/>
            <w:hideMark/>
          </w:tcPr>
          <w:p w14:paraId="297BE1F0"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$15.364.120</w:t>
            </w:r>
          </w:p>
        </w:tc>
        <w:tc>
          <w:tcPr>
            <w:tcW w:w="992" w:type="dxa"/>
            <w:noWrap/>
            <w:hideMark/>
          </w:tcPr>
          <w:p w14:paraId="10977D3F"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19</w:t>
            </w:r>
          </w:p>
        </w:tc>
      </w:tr>
      <w:tr w:rsidR="00601BDA" w:rsidRPr="004138DD" w14:paraId="00F3557F" w14:textId="77777777" w:rsidTr="00C424EA">
        <w:trPr>
          <w:trHeight w:val="221"/>
        </w:trPr>
        <w:tc>
          <w:tcPr>
            <w:tcW w:w="1134" w:type="dxa"/>
            <w:noWrap/>
            <w:hideMark/>
          </w:tcPr>
          <w:p w14:paraId="5D4A93DC" w14:textId="77777777" w:rsidR="00601BDA" w:rsidRPr="004138DD" w:rsidRDefault="00601BDA" w:rsidP="00601BDA">
            <w:pPr>
              <w:spacing w:line="276" w:lineRule="auto"/>
              <w:jc w:val="both"/>
              <w:rPr>
                <w:rFonts w:ascii="Arial" w:eastAsia="Bookman Old Style" w:hAnsi="Arial" w:cs="Arial"/>
                <w:sz w:val="18"/>
                <w:szCs w:val="18"/>
              </w:rPr>
            </w:pPr>
            <w:r w:rsidRPr="004138DD">
              <w:rPr>
                <w:rFonts w:ascii="Arial" w:eastAsia="Bookman Old Style" w:hAnsi="Arial" w:cs="Arial"/>
                <w:sz w:val="18"/>
                <w:szCs w:val="18"/>
              </w:rPr>
              <w:t>tercera</w:t>
            </w:r>
          </w:p>
        </w:tc>
        <w:tc>
          <w:tcPr>
            <w:tcW w:w="1113" w:type="dxa"/>
            <w:noWrap/>
            <w:hideMark/>
          </w:tcPr>
          <w:p w14:paraId="11174C52"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$308.111</w:t>
            </w:r>
          </w:p>
        </w:tc>
        <w:tc>
          <w:tcPr>
            <w:tcW w:w="1292" w:type="dxa"/>
            <w:noWrap/>
            <w:hideMark/>
          </w:tcPr>
          <w:p w14:paraId="45D7A0C2"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70</w:t>
            </w:r>
          </w:p>
        </w:tc>
        <w:tc>
          <w:tcPr>
            <w:tcW w:w="1276" w:type="dxa"/>
            <w:noWrap/>
            <w:hideMark/>
          </w:tcPr>
          <w:p w14:paraId="7C3F0A70"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20</w:t>
            </w:r>
          </w:p>
        </w:tc>
        <w:tc>
          <w:tcPr>
            <w:tcW w:w="1559" w:type="dxa"/>
            <w:noWrap/>
            <w:hideMark/>
          </w:tcPr>
          <w:p w14:paraId="19807455"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$21.567.770</w:t>
            </w:r>
          </w:p>
        </w:tc>
        <w:tc>
          <w:tcPr>
            <w:tcW w:w="1418" w:type="dxa"/>
            <w:noWrap/>
            <w:hideMark/>
          </w:tcPr>
          <w:p w14:paraId="6FFBAE47"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$6.162.220</w:t>
            </w:r>
          </w:p>
        </w:tc>
        <w:tc>
          <w:tcPr>
            <w:tcW w:w="992" w:type="dxa"/>
            <w:noWrap/>
            <w:hideMark/>
          </w:tcPr>
          <w:p w14:paraId="2559CBFC"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25</w:t>
            </w:r>
          </w:p>
        </w:tc>
      </w:tr>
      <w:tr w:rsidR="00601BDA" w:rsidRPr="004138DD" w14:paraId="00450EC4" w14:textId="77777777" w:rsidTr="00C424EA">
        <w:trPr>
          <w:trHeight w:val="221"/>
        </w:trPr>
        <w:tc>
          <w:tcPr>
            <w:tcW w:w="1134" w:type="dxa"/>
            <w:noWrap/>
            <w:hideMark/>
          </w:tcPr>
          <w:p w14:paraId="12239F8A" w14:textId="77777777" w:rsidR="00601BDA" w:rsidRPr="004138DD" w:rsidRDefault="00601BDA" w:rsidP="00601BDA">
            <w:pPr>
              <w:spacing w:line="276" w:lineRule="auto"/>
              <w:jc w:val="both"/>
              <w:rPr>
                <w:rFonts w:ascii="Arial" w:eastAsia="Bookman Old Style" w:hAnsi="Arial" w:cs="Arial"/>
                <w:sz w:val="18"/>
                <w:szCs w:val="18"/>
              </w:rPr>
            </w:pPr>
            <w:r w:rsidRPr="004138DD">
              <w:rPr>
                <w:rFonts w:ascii="Arial" w:eastAsia="Bookman Old Style" w:hAnsi="Arial" w:cs="Arial"/>
                <w:sz w:val="18"/>
                <w:szCs w:val="18"/>
              </w:rPr>
              <w:t>cuarta</w:t>
            </w:r>
          </w:p>
        </w:tc>
        <w:tc>
          <w:tcPr>
            <w:tcW w:w="1113" w:type="dxa"/>
            <w:noWrap/>
            <w:hideMark/>
          </w:tcPr>
          <w:p w14:paraId="7BAC1FA9"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$257.748</w:t>
            </w:r>
          </w:p>
        </w:tc>
        <w:tc>
          <w:tcPr>
            <w:tcW w:w="1292" w:type="dxa"/>
            <w:noWrap/>
            <w:hideMark/>
          </w:tcPr>
          <w:p w14:paraId="15479A62"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70</w:t>
            </w:r>
          </w:p>
        </w:tc>
        <w:tc>
          <w:tcPr>
            <w:tcW w:w="1276" w:type="dxa"/>
            <w:noWrap/>
            <w:hideMark/>
          </w:tcPr>
          <w:p w14:paraId="76FA66C2"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20</w:t>
            </w:r>
          </w:p>
        </w:tc>
        <w:tc>
          <w:tcPr>
            <w:tcW w:w="1559" w:type="dxa"/>
            <w:noWrap/>
            <w:hideMark/>
          </w:tcPr>
          <w:p w14:paraId="7F45136A"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$18.042.360</w:t>
            </w:r>
          </w:p>
        </w:tc>
        <w:tc>
          <w:tcPr>
            <w:tcW w:w="1418" w:type="dxa"/>
            <w:noWrap/>
            <w:hideMark/>
          </w:tcPr>
          <w:p w14:paraId="1806BBED"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$5.154.960</w:t>
            </w:r>
          </w:p>
        </w:tc>
        <w:tc>
          <w:tcPr>
            <w:tcW w:w="992" w:type="dxa"/>
            <w:noWrap/>
            <w:hideMark/>
          </w:tcPr>
          <w:p w14:paraId="556434A9"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16</w:t>
            </w:r>
          </w:p>
        </w:tc>
      </w:tr>
      <w:tr w:rsidR="00601BDA" w:rsidRPr="004138DD" w14:paraId="4A99C9DE" w14:textId="77777777" w:rsidTr="00C424EA">
        <w:trPr>
          <w:trHeight w:val="221"/>
        </w:trPr>
        <w:tc>
          <w:tcPr>
            <w:tcW w:w="1134" w:type="dxa"/>
            <w:noWrap/>
            <w:hideMark/>
          </w:tcPr>
          <w:p w14:paraId="745420BC" w14:textId="77777777" w:rsidR="00601BDA" w:rsidRPr="004138DD" w:rsidRDefault="00601BDA" w:rsidP="00601BDA">
            <w:pPr>
              <w:spacing w:line="276" w:lineRule="auto"/>
              <w:jc w:val="both"/>
              <w:rPr>
                <w:rFonts w:ascii="Arial" w:eastAsia="Bookman Old Style" w:hAnsi="Arial" w:cs="Arial"/>
                <w:sz w:val="18"/>
                <w:szCs w:val="18"/>
              </w:rPr>
            </w:pPr>
            <w:r w:rsidRPr="004138DD">
              <w:rPr>
                <w:rFonts w:ascii="Arial" w:eastAsia="Bookman Old Style" w:hAnsi="Arial" w:cs="Arial"/>
                <w:sz w:val="18"/>
                <w:szCs w:val="18"/>
              </w:rPr>
              <w:t>quinta</w:t>
            </w:r>
          </w:p>
        </w:tc>
        <w:tc>
          <w:tcPr>
            <w:tcW w:w="1113" w:type="dxa"/>
            <w:noWrap/>
            <w:hideMark/>
          </w:tcPr>
          <w:p w14:paraId="5A78BA97"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$207.583</w:t>
            </w:r>
          </w:p>
        </w:tc>
        <w:tc>
          <w:tcPr>
            <w:tcW w:w="1292" w:type="dxa"/>
            <w:noWrap/>
            <w:hideMark/>
          </w:tcPr>
          <w:p w14:paraId="649B2977"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70</w:t>
            </w:r>
          </w:p>
        </w:tc>
        <w:tc>
          <w:tcPr>
            <w:tcW w:w="1276" w:type="dxa"/>
            <w:noWrap/>
            <w:hideMark/>
          </w:tcPr>
          <w:p w14:paraId="2F92A8AD"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20</w:t>
            </w:r>
          </w:p>
        </w:tc>
        <w:tc>
          <w:tcPr>
            <w:tcW w:w="1559" w:type="dxa"/>
            <w:noWrap/>
            <w:hideMark/>
          </w:tcPr>
          <w:p w14:paraId="285DC4A6"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$14.530.810</w:t>
            </w:r>
          </w:p>
        </w:tc>
        <w:tc>
          <w:tcPr>
            <w:tcW w:w="1418" w:type="dxa"/>
            <w:noWrap/>
            <w:hideMark/>
          </w:tcPr>
          <w:p w14:paraId="304DD8F1"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$4.151.660</w:t>
            </w:r>
          </w:p>
        </w:tc>
        <w:tc>
          <w:tcPr>
            <w:tcW w:w="992" w:type="dxa"/>
            <w:noWrap/>
            <w:hideMark/>
          </w:tcPr>
          <w:p w14:paraId="358857B7"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42</w:t>
            </w:r>
          </w:p>
        </w:tc>
      </w:tr>
      <w:tr w:rsidR="00601BDA" w:rsidRPr="004138DD" w14:paraId="28DBB247" w14:textId="77777777" w:rsidTr="00C424EA">
        <w:trPr>
          <w:trHeight w:val="221"/>
        </w:trPr>
        <w:tc>
          <w:tcPr>
            <w:tcW w:w="1134" w:type="dxa"/>
            <w:noWrap/>
            <w:hideMark/>
          </w:tcPr>
          <w:p w14:paraId="08E220F2" w14:textId="77777777" w:rsidR="00601BDA" w:rsidRPr="004138DD" w:rsidRDefault="00601BDA" w:rsidP="00601BDA">
            <w:pPr>
              <w:spacing w:line="276" w:lineRule="auto"/>
              <w:jc w:val="both"/>
              <w:rPr>
                <w:rFonts w:ascii="Arial" w:eastAsia="Bookman Old Style" w:hAnsi="Arial" w:cs="Arial"/>
                <w:sz w:val="18"/>
                <w:szCs w:val="18"/>
              </w:rPr>
            </w:pPr>
            <w:r w:rsidRPr="004138DD">
              <w:rPr>
                <w:rFonts w:ascii="Arial" w:eastAsia="Bookman Old Style" w:hAnsi="Arial" w:cs="Arial"/>
                <w:sz w:val="18"/>
                <w:szCs w:val="18"/>
              </w:rPr>
              <w:t>sexta</w:t>
            </w:r>
          </w:p>
        </w:tc>
        <w:tc>
          <w:tcPr>
            <w:tcW w:w="1113" w:type="dxa"/>
            <w:noWrap/>
            <w:hideMark/>
          </w:tcPr>
          <w:p w14:paraId="6616887A"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$156.835</w:t>
            </w:r>
          </w:p>
        </w:tc>
        <w:tc>
          <w:tcPr>
            <w:tcW w:w="1292" w:type="dxa"/>
            <w:noWrap/>
            <w:hideMark/>
          </w:tcPr>
          <w:p w14:paraId="097EA2BD"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70</w:t>
            </w:r>
          </w:p>
        </w:tc>
        <w:tc>
          <w:tcPr>
            <w:tcW w:w="1276" w:type="dxa"/>
            <w:noWrap/>
            <w:hideMark/>
          </w:tcPr>
          <w:p w14:paraId="5A35EE25"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20</w:t>
            </w:r>
          </w:p>
        </w:tc>
        <w:tc>
          <w:tcPr>
            <w:tcW w:w="1559" w:type="dxa"/>
            <w:noWrap/>
            <w:hideMark/>
          </w:tcPr>
          <w:p w14:paraId="61FDF833"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$10.978.450</w:t>
            </w:r>
          </w:p>
        </w:tc>
        <w:tc>
          <w:tcPr>
            <w:tcW w:w="1418" w:type="dxa"/>
            <w:noWrap/>
            <w:hideMark/>
          </w:tcPr>
          <w:p w14:paraId="6727B8E8"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$3.136.700</w:t>
            </w:r>
          </w:p>
        </w:tc>
        <w:tc>
          <w:tcPr>
            <w:tcW w:w="992" w:type="dxa"/>
            <w:noWrap/>
            <w:hideMark/>
          </w:tcPr>
          <w:p w14:paraId="79ED8A33" w14:textId="77777777" w:rsidR="00601BDA" w:rsidRPr="004138DD" w:rsidRDefault="00601BDA" w:rsidP="00601BDA">
            <w:pPr>
              <w:spacing w:line="276" w:lineRule="auto"/>
              <w:jc w:val="center"/>
              <w:rPr>
                <w:rFonts w:ascii="Arial" w:eastAsia="Bookman Old Style" w:hAnsi="Arial" w:cs="Arial"/>
                <w:sz w:val="18"/>
                <w:szCs w:val="18"/>
              </w:rPr>
            </w:pPr>
            <w:r w:rsidRPr="004138DD">
              <w:rPr>
                <w:rFonts w:ascii="Arial" w:eastAsia="Bookman Old Style" w:hAnsi="Arial" w:cs="Arial"/>
                <w:sz w:val="18"/>
                <w:szCs w:val="18"/>
              </w:rPr>
              <w:t>967</w:t>
            </w:r>
          </w:p>
        </w:tc>
      </w:tr>
    </w:tbl>
    <w:p w14:paraId="0F530911" w14:textId="77777777" w:rsidR="00601BDA" w:rsidRPr="004138DD" w:rsidRDefault="00601BDA" w:rsidP="00601BDA">
      <w:pPr>
        <w:spacing w:line="276" w:lineRule="auto"/>
        <w:jc w:val="both"/>
        <w:rPr>
          <w:rFonts w:ascii="Arial" w:eastAsia="Bookman Old Style" w:hAnsi="Arial" w:cs="Arial"/>
          <w:sz w:val="24"/>
          <w:szCs w:val="24"/>
        </w:rPr>
      </w:pPr>
    </w:p>
    <w:p w14:paraId="7F8F7849" w14:textId="77777777" w:rsidR="00601BDA" w:rsidRPr="004138DD" w:rsidRDefault="00601BDA" w:rsidP="00601BDA">
      <w:pPr>
        <w:spacing w:line="276" w:lineRule="auto"/>
        <w:jc w:val="both"/>
        <w:rPr>
          <w:rFonts w:ascii="Arial" w:eastAsia="Bookman Old Style" w:hAnsi="Arial" w:cs="Arial"/>
          <w:sz w:val="24"/>
          <w:szCs w:val="24"/>
        </w:rPr>
      </w:pPr>
      <w:r w:rsidRPr="004138DD">
        <w:rPr>
          <w:rFonts w:ascii="Arial" w:eastAsia="Bookman Old Style" w:hAnsi="Arial" w:cs="Arial"/>
          <w:sz w:val="24"/>
          <w:szCs w:val="24"/>
        </w:rPr>
        <w:t xml:space="preserve">Para el caso de los departamentos, se debe tomar en cuenta se debe tener en cuenta lo estipulado en la Ley 617, respecto a la categorización de los Municipios que realiza la Contaduría General y los departamentos auto categorizados. </w:t>
      </w:r>
    </w:p>
    <w:p w14:paraId="3E0681AE" w14:textId="77777777" w:rsidR="00601BDA" w:rsidRPr="004138DD" w:rsidRDefault="00601BDA" w:rsidP="00601BDA">
      <w:pPr>
        <w:spacing w:line="276" w:lineRule="auto"/>
        <w:jc w:val="both"/>
        <w:rPr>
          <w:rFonts w:ascii="Arial" w:eastAsia="Bookman Old Style" w:hAnsi="Arial" w:cs="Arial"/>
          <w:sz w:val="24"/>
          <w:szCs w:val="24"/>
        </w:rPr>
      </w:pPr>
      <w:r w:rsidRPr="004138DD">
        <w:rPr>
          <w:rFonts w:ascii="Arial" w:eastAsia="Bookman Old Style" w:hAnsi="Arial" w:cs="Arial"/>
          <w:sz w:val="24"/>
          <w:szCs w:val="24"/>
        </w:rPr>
        <w:t xml:space="preserve">Habiendo claridad en lo anterior, en la actualidad existen 3 departamentos de categoría especial (Cundinamarca, Valle del Cauca y Antioquia), 8 de primera categoría (Atlántico, Meta, Nariño, Santander, Bolívar, Boyacá, Córdoba y Tolima), 7 de segunda categoría (Huila, Caldas, Cauca, Cesar, Magdalena, Risaralda y N. Santander), 4 de tercera (Quindío, San Andrés, Chocó y Casanare), y 10 de cuarta categoría (Caquetá, La Guajira, </w:t>
      </w:r>
      <w:r w:rsidRPr="004138DD">
        <w:rPr>
          <w:rFonts w:ascii="Arial" w:eastAsia="Bookman Old Style" w:hAnsi="Arial" w:cs="Arial"/>
          <w:sz w:val="24"/>
          <w:szCs w:val="24"/>
        </w:rPr>
        <w:lastRenderedPageBreak/>
        <w:t>Putumayo, Guaviare, Vichada, Amazonas, Guainía, Vaupés, Sucre y Arauca).</w:t>
      </w:r>
    </w:p>
    <w:p w14:paraId="1AA9BF1D" w14:textId="77777777" w:rsidR="00601BDA" w:rsidRPr="004138DD" w:rsidRDefault="00601BDA" w:rsidP="00601BDA">
      <w:pPr>
        <w:spacing w:line="276" w:lineRule="auto"/>
        <w:jc w:val="both"/>
        <w:rPr>
          <w:rFonts w:ascii="Arial" w:eastAsia="Bookman Old Style" w:hAnsi="Arial" w:cs="Arial"/>
          <w:sz w:val="24"/>
          <w:szCs w:val="24"/>
        </w:rPr>
      </w:pPr>
      <w:r w:rsidRPr="004138DD">
        <w:rPr>
          <w:rFonts w:ascii="Arial" w:eastAsia="Bookman Old Style" w:hAnsi="Arial" w:cs="Arial"/>
          <w:sz w:val="24"/>
          <w:szCs w:val="24"/>
        </w:rPr>
        <w:t>Aplicando la norma para la remuneración de los diputados y, de acuerdo a la categorización de los departamentos, sin incluir seguridad social, estos serían los gastos aproximados:</w:t>
      </w:r>
    </w:p>
    <w:p w14:paraId="7D157946" w14:textId="77777777" w:rsidR="00601BDA" w:rsidRPr="004138DD" w:rsidRDefault="00601BDA" w:rsidP="00601BDA">
      <w:pPr>
        <w:pStyle w:val="Sinespaciado"/>
        <w:spacing w:line="276" w:lineRule="auto"/>
        <w:rPr>
          <w:rFonts w:ascii="Arial" w:hAnsi="Arial" w:cs="Arial"/>
          <w:sz w:val="24"/>
          <w:szCs w:val="24"/>
        </w:rPr>
      </w:pPr>
      <w:r w:rsidRPr="004138DD">
        <w:rPr>
          <w:rFonts w:ascii="Arial" w:hAnsi="Arial" w:cs="Arial"/>
          <w:sz w:val="24"/>
          <w:szCs w:val="24"/>
        </w:rPr>
        <w:fldChar w:fldCharType="begin"/>
      </w:r>
      <w:r w:rsidRPr="004138DD">
        <w:rPr>
          <w:rFonts w:ascii="Arial" w:hAnsi="Arial" w:cs="Arial"/>
          <w:sz w:val="24"/>
          <w:szCs w:val="24"/>
        </w:rPr>
        <w:instrText xml:space="preserve"> LINK Excel.Sheet.12 "D:\\UTL REP KARYME\\PROYECTOS\\2DA LEGISLATURA\\ESTATUTO DE LA OPOSICIÓN\\EJERCICIO CONCEJALES.xlsx" Hoja2!F1C1:F6C7 \a \f 5 \h  \* MERGEFORMAT </w:instrText>
      </w:r>
      <w:r w:rsidRPr="004138DD">
        <w:rPr>
          <w:rFonts w:ascii="Arial" w:hAnsi="Arial" w:cs="Arial"/>
          <w:sz w:val="24"/>
          <w:szCs w:val="24"/>
        </w:rPr>
        <w:fldChar w:fldCharType="separate"/>
      </w:r>
    </w:p>
    <w:tbl>
      <w:tblPr>
        <w:tblStyle w:val="Tablaconcuadrcula"/>
        <w:tblW w:w="8217" w:type="dxa"/>
        <w:jc w:val="center"/>
        <w:tblLayout w:type="fixed"/>
        <w:tblLook w:val="04A0" w:firstRow="1" w:lastRow="0" w:firstColumn="1" w:lastColumn="0" w:noHBand="0" w:noVBand="1"/>
      </w:tblPr>
      <w:tblGrid>
        <w:gridCol w:w="1304"/>
        <w:gridCol w:w="1952"/>
        <w:gridCol w:w="1134"/>
        <w:gridCol w:w="1275"/>
        <w:gridCol w:w="1560"/>
        <w:gridCol w:w="992"/>
      </w:tblGrid>
      <w:tr w:rsidR="00601BDA" w:rsidRPr="004138DD" w14:paraId="188483EB" w14:textId="77777777" w:rsidTr="00C424EA">
        <w:trPr>
          <w:trHeight w:val="600"/>
          <w:jc w:val="center"/>
        </w:trPr>
        <w:tc>
          <w:tcPr>
            <w:tcW w:w="1304" w:type="dxa"/>
            <w:hideMark/>
          </w:tcPr>
          <w:p w14:paraId="3BDA660B" w14:textId="77777777" w:rsidR="00601BDA" w:rsidRPr="004138DD" w:rsidRDefault="00601BDA" w:rsidP="00601BDA">
            <w:pPr>
              <w:spacing w:line="276" w:lineRule="auto"/>
              <w:jc w:val="center"/>
              <w:rPr>
                <w:rFonts w:ascii="Arial" w:eastAsia="Bookman Old Style" w:hAnsi="Arial" w:cs="Arial"/>
                <w:b/>
                <w:bCs/>
                <w:sz w:val="20"/>
                <w:szCs w:val="24"/>
              </w:rPr>
            </w:pPr>
            <w:r w:rsidRPr="004138DD">
              <w:rPr>
                <w:rFonts w:ascii="Arial" w:eastAsia="Bookman Old Style" w:hAnsi="Arial" w:cs="Arial"/>
                <w:b/>
                <w:bCs/>
                <w:sz w:val="20"/>
                <w:szCs w:val="24"/>
              </w:rPr>
              <w:t>categoría</w:t>
            </w:r>
          </w:p>
        </w:tc>
        <w:tc>
          <w:tcPr>
            <w:tcW w:w="1952" w:type="dxa"/>
            <w:hideMark/>
          </w:tcPr>
          <w:p w14:paraId="44899853" w14:textId="77777777" w:rsidR="00601BDA" w:rsidRPr="004138DD" w:rsidRDefault="00601BDA" w:rsidP="00601BDA">
            <w:pPr>
              <w:spacing w:line="276" w:lineRule="auto"/>
              <w:jc w:val="center"/>
              <w:rPr>
                <w:rFonts w:ascii="Arial" w:eastAsia="Bookman Old Style" w:hAnsi="Arial" w:cs="Arial"/>
                <w:b/>
                <w:bCs/>
                <w:sz w:val="20"/>
                <w:szCs w:val="24"/>
              </w:rPr>
            </w:pPr>
            <w:r w:rsidRPr="004138DD">
              <w:rPr>
                <w:rFonts w:ascii="Arial" w:eastAsia="Bookman Old Style" w:hAnsi="Arial" w:cs="Arial"/>
                <w:b/>
                <w:bCs/>
                <w:sz w:val="20"/>
                <w:szCs w:val="24"/>
              </w:rPr>
              <w:t xml:space="preserve">Remuneración </w:t>
            </w:r>
            <w:proofErr w:type="spellStart"/>
            <w:r w:rsidRPr="004138DD">
              <w:rPr>
                <w:rFonts w:ascii="Arial" w:eastAsia="Bookman Old Style" w:hAnsi="Arial" w:cs="Arial"/>
                <w:b/>
                <w:bCs/>
                <w:sz w:val="20"/>
                <w:szCs w:val="24"/>
              </w:rPr>
              <w:t>smlv</w:t>
            </w:r>
            <w:proofErr w:type="spellEnd"/>
          </w:p>
        </w:tc>
        <w:tc>
          <w:tcPr>
            <w:tcW w:w="1134" w:type="dxa"/>
            <w:hideMark/>
          </w:tcPr>
          <w:p w14:paraId="6DA58A4E" w14:textId="77777777" w:rsidR="00601BDA" w:rsidRPr="004138DD" w:rsidRDefault="00601BDA" w:rsidP="00601BDA">
            <w:pPr>
              <w:spacing w:line="276" w:lineRule="auto"/>
              <w:jc w:val="center"/>
              <w:rPr>
                <w:rFonts w:ascii="Arial" w:eastAsia="Bookman Old Style" w:hAnsi="Arial" w:cs="Arial"/>
                <w:b/>
                <w:bCs/>
                <w:sz w:val="20"/>
                <w:szCs w:val="24"/>
              </w:rPr>
            </w:pPr>
            <w:r w:rsidRPr="004138DD">
              <w:rPr>
                <w:rFonts w:ascii="Arial" w:eastAsia="Bookman Old Style" w:hAnsi="Arial" w:cs="Arial"/>
                <w:b/>
                <w:bCs/>
                <w:sz w:val="20"/>
                <w:szCs w:val="24"/>
              </w:rPr>
              <w:t>valor SM</w:t>
            </w:r>
          </w:p>
        </w:tc>
        <w:tc>
          <w:tcPr>
            <w:tcW w:w="1275" w:type="dxa"/>
            <w:hideMark/>
          </w:tcPr>
          <w:p w14:paraId="02B7D098" w14:textId="77777777" w:rsidR="00601BDA" w:rsidRPr="004138DD" w:rsidRDefault="00601BDA" w:rsidP="00601BDA">
            <w:pPr>
              <w:spacing w:line="276" w:lineRule="auto"/>
              <w:jc w:val="center"/>
              <w:rPr>
                <w:rFonts w:ascii="Arial" w:eastAsia="Bookman Old Style" w:hAnsi="Arial" w:cs="Arial"/>
                <w:b/>
                <w:bCs/>
                <w:sz w:val="20"/>
                <w:szCs w:val="24"/>
              </w:rPr>
            </w:pPr>
            <w:r w:rsidRPr="004138DD">
              <w:rPr>
                <w:rFonts w:ascii="Arial" w:eastAsia="Bookman Old Style" w:hAnsi="Arial" w:cs="Arial"/>
                <w:b/>
                <w:bCs/>
                <w:sz w:val="20"/>
                <w:szCs w:val="24"/>
              </w:rPr>
              <w:t>valor mes</w:t>
            </w:r>
          </w:p>
        </w:tc>
        <w:tc>
          <w:tcPr>
            <w:tcW w:w="1560" w:type="dxa"/>
            <w:hideMark/>
          </w:tcPr>
          <w:p w14:paraId="60CA0D3E" w14:textId="77777777" w:rsidR="00601BDA" w:rsidRPr="004138DD" w:rsidRDefault="00601BDA" w:rsidP="00601BDA">
            <w:pPr>
              <w:spacing w:line="276" w:lineRule="auto"/>
              <w:jc w:val="center"/>
              <w:rPr>
                <w:rFonts w:ascii="Arial" w:eastAsia="Bookman Old Style" w:hAnsi="Arial" w:cs="Arial"/>
                <w:b/>
                <w:bCs/>
                <w:sz w:val="20"/>
                <w:szCs w:val="24"/>
              </w:rPr>
            </w:pPr>
            <w:r w:rsidRPr="004138DD">
              <w:rPr>
                <w:rFonts w:ascii="Arial" w:eastAsia="Bookman Old Style" w:hAnsi="Arial" w:cs="Arial"/>
                <w:b/>
                <w:bCs/>
                <w:sz w:val="20"/>
                <w:szCs w:val="24"/>
              </w:rPr>
              <w:t>sesiones año</w:t>
            </w:r>
          </w:p>
        </w:tc>
        <w:tc>
          <w:tcPr>
            <w:tcW w:w="992" w:type="dxa"/>
            <w:hideMark/>
          </w:tcPr>
          <w:p w14:paraId="426ADBF1" w14:textId="77777777" w:rsidR="00601BDA" w:rsidRPr="004138DD" w:rsidRDefault="00601BDA" w:rsidP="00601BDA">
            <w:pPr>
              <w:spacing w:line="276" w:lineRule="auto"/>
              <w:jc w:val="center"/>
              <w:rPr>
                <w:rFonts w:ascii="Arial" w:eastAsia="Bookman Old Style" w:hAnsi="Arial" w:cs="Arial"/>
                <w:b/>
                <w:bCs/>
                <w:sz w:val="20"/>
                <w:szCs w:val="24"/>
              </w:rPr>
            </w:pPr>
            <w:r w:rsidRPr="004138DD">
              <w:rPr>
                <w:rFonts w:ascii="Arial" w:eastAsia="Bookman Old Style" w:hAnsi="Arial" w:cs="Arial"/>
                <w:b/>
                <w:bCs/>
                <w:sz w:val="20"/>
                <w:szCs w:val="24"/>
              </w:rPr>
              <w:t xml:space="preserve">No. De </w:t>
            </w:r>
            <w:proofErr w:type="spellStart"/>
            <w:r w:rsidRPr="004138DD">
              <w:rPr>
                <w:rFonts w:ascii="Arial" w:eastAsia="Bookman Old Style" w:hAnsi="Arial" w:cs="Arial"/>
                <w:b/>
                <w:bCs/>
                <w:sz w:val="20"/>
                <w:szCs w:val="24"/>
              </w:rPr>
              <w:t>Dptos</w:t>
            </w:r>
            <w:proofErr w:type="spellEnd"/>
          </w:p>
        </w:tc>
      </w:tr>
      <w:tr w:rsidR="00601BDA" w:rsidRPr="004138DD" w14:paraId="4E94D517" w14:textId="77777777" w:rsidTr="00C424EA">
        <w:trPr>
          <w:trHeight w:val="300"/>
          <w:jc w:val="center"/>
        </w:trPr>
        <w:tc>
          <w:tcPr>
            <w:tcW w:w="1304" w:type="dxa"/>
            <w:hideMark/>
          </w:tcPr>
          <w:p w14:paraId="2EC5A045"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especial</w:t>
            </w:r>
          </w:p>
        </w:tc>
        <w:tc>
          <w:tcPr>
            <w:tcW w:w="1952" w:type="dxa"/>
            <w:hideMark/>
          </w:tcPr>
          <w:p w14:paraId="6EA23EFF"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30</w:t>
            </w:r>
          </w:p>
        </w:tc>
        <w:tc>
          <w:tcPr>
            <w:tcW w:w="1134" w:type="dxa"/>
            <w:hideMark/>
          </w:tcPr>
          <w:p w14:paraId="6157A4DC"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1160000</w:t>
            </w:r>
          </w:p>
        </w:tc>
        <w:tc>
          <w:tcPr>
            <w:tcW w:w="1275" w:type="dxa"/>
            <w:hideMark/>
          </w:tcPr>
          <w:p w14:paraId="7A5C7F3C"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34800000</w:t>
            </w:r>
          </w:p>
        </w:tc>
        <w:tc>
          <w:tcPr>
            <w:tcW w:w="1560" w:type="dxa"/>
            <w:hideMark/>
          </w:tcPr>
          <w:p w14:paraId="498A0F8A"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208800000</w:t>
            </w:r>
          </w:p>
        </w:tc>
        <w:tc>
          <w:tcPr>
            <w:tcW w:w="992" w:type="dxa"/>
            <w:hideMark/>
          </w:tcPr>
          <w:p w14:paraId="50830CF4"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4</w:t>
            </w:r>
          </w:p>
        </w:tc>
      </w:tr>
      <w:tr w:rsidR="00601BDA" w:rsidRPr="004138DD" w14:paraId="2F61F649" w14:textId="77777777" w:rsidTr="00C424EA">
        <w:trPr>
          <w:trHeight w:val="300"/>
          <w:jc w:val="center"/>
        </w:trPr>
        <w:tc>
          <w:tcPr>
            <w:tcW w:w="1304" w:type="dxa"/>
            <w:hideMark/>
          </w:tcPr>
          <w:p w14:paraId="3EBFB523"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primera</w:t>
            </w:r>
          </w:p>
        </w:tc>
        <w:tc>
          <w:tcPr>
            <w:tcW w:w="1952" w:type="dxa"/>
            <w:hideMark/>
          </w:tcPr>
          <w:p w14:paraId="5B94DB20"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26</w:t>
            </w:r>
          </w:p>
        </w:tc>
        <w:tc>
          <w:tcPr>
            <w:tcW w:w="1134" w:type="dxa"/>
            <w:hideMark/>
          </w:tcPr>
          <w:p w14:paraId="78A74B8A"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1160000</w:t>
            </w:r>
          </w:p>
        </w:tc>
        <w:tc>
          <w:tcPr>
            <w:tcW w:w="1275" w:type="dxa"/>
            <w:hideMark/>
          </w:tcPr>
          <w:p w14:paraId="4509E312"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30160000</w:t>
            </w:r>
          </w:p>
        </w:tc>
        <w:tc>
          <w:tcPr>
            <w:tcW w:w="1560" w:type="dxa"/>
            <w:hideMark/>
          </w:tcPr>
          <w:p w14:paraId="2758FFC9"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180960000</w:t>
            </w:r>
          </w:p>
        </w:tc>
        <w:tc>
          <w:tcPr>
            <w:tcW w:w="992" w:type="dxa"/>
            <w:hideMark/>
          </w:tcPr>
          <w:p w14:paraId="1C59781F"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8</w:t>
            </w:r>
          </w:p>
        </w:tc>
      </w:tr>
      <w:tr w:rsidR="00601BDA" w:rsidRPr="004138DD" w14:paraId="4FBDB484" w14:textId="77777777" w:rsidTr="00C424EA">
        <w:trPr>
          <w:trHeight w:val="300"/>
          <w:jc w:val="center"/>
        </w:trPr>
        <w:tc>
          <w:tcPr>
            <w:tcW w:w="1304" w:type="dxa"/>
            <w:hideMark/>
          </w:tcPr>
          <w:p w14:paraId="5C320AC3"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segunda</w:t>
            </w:r>
          </w:p>
        </w:tc>
        <w:tc>
          <w:tcPr>
            <w:tcW w:w="1952" w:type="dxa"/>
            <w:hideMark/>
          </w:tcPr>
          <w:p w14:paraId="06D3B62E"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25</w:t>
            </w:r>
          </w:p>
        </w:tc>
        <w:tc>
          <w:tcPr>
            <w:tcW w:w="1134" w:type="dxa"/>
            <w:hideMark/>
          </w:tcPr>
          <w:p w14:paraId="0300C64D"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1160000</w:t>
            </w:r>
          </w:p>
        </w:tc>
        <w:tc>
          <w:tcPr>
            <w:tcW w:w="1275" w:type="dxa"/>
            <w:hideMark/>
          </w:tcPr>
          <w:p w14:paraId="4FC4254E"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29000000</w:t>
            </w:r>
          </w:p>
        </w:tc>
        <w:tc>
          <w:tcPr>
            <w:tcW w:w="1560" w:type="dxa"/>
            <w:hideMark/>
          </w:tcPr>
          <w:p w14:paraId="32D7F70F"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174000000</w:t>
            </w:r>
          </w:p>
        </w:tc>
        <w:tc>
          <w:tcPr>
            <w:tcW w:w="992" w:type="dxa"/>
            <w:hideMark/>
          </w:tcPr>
          <w:p w14:paraId="222DBD23"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7</w:t>
            </w:r>
          </w:p>
        </w:tc>
      </w:tr>
      <w:tr w:rsidR="00601BDA" w:rsidRPr="004138DD" w14:paraId="73945782" w14:textId="77777777" w:rsidTr="00C424EA">
        <w:trPr>
          <w:trHeight w:val="300"/>
          <w:jc w:val="center"/>
        </w:trPr>
        <w:tc>
          <w:tcPr>
            <w:tcW w:w="1304" w:type="dxa"/>
            <w:hideMark/>
          </w:tcPr>
          <w:p w14:paraId="3BC30CC3"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tercera</w:t>
            </w:r>
          </w:p>
        </w:tc>
        <w:tc>
          <w:tcPr>
            <w:tcW w:w="1952" w:type="dxa"/>
            <w:hideMark/>
          </w:tcPr>
          <w:p w14:paraId="44CD6264"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18</w:t>
            </w:r>
          </w:p>
        </w:tc>
        <w:tc>
          <w:tcPr>
            <w:tcW w:w="1134" w:type="dxa"/>
            <w:hideMark/>
          </w:tcPr>
          <w:p w14:paraId="16447018"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1160000</w:t>
            </w:r>
          </w:p>
        </w:tc>
        <w:tc>
          <w:tcPr>
            <w:tcW w:w="1275" w:type="dxa"/>
            <w:hideMark/>
          </w:tcPr>
          <w:p w14:paraId="5A8D136C"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20880000</w:t>
            </w:r>
          </w:p>
        </w:tc>
        <w:tc>
          <w:tcPr>
            <w:tcW w:w="1560" w:type="dxa"/>
            <w:hideMark/>
          </w:tcPr>
          <w:p w14:paraId="712EF3BE"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125280000</w:t>
            </w:r>
          </w:p>
        </w:tc>
        <w:tc>
          <w:tcPr>
            <w:tcW w:w="992" w:type="dxa"/>
            <w:hideMark/>
          </w:tcPr>
          <w:p w14:paraId="3149B43D"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3</w:t>
            </w:r>
          </w:p>
        </w:tc>
      </w:tr>
      <w:tr w:rsidR="00601BDA" w:rsidRPr="004138DD" w14:paraId="18733648" w14:textId="77777777" w:rsidTr="00C424EA">
        <w:trPr>
          <w:trHeight w:val="300"/>
          <w:jc w:val="center"/>
        </w:trPr>
        <w:tc>
          <w:tcPr>
            <w:tcW w:w="1304" w:type="dxa"/>
            <w:hideMark/>
          </w:tcPr>
          <w:p w14:paraId="1CEDFDC8"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cuarta</w:t>
            </w:r>
          </w:p>
        </w:tc>
        <w:tc>
          <w:tcPr>
            <w:tcW w:w="1952" w:type="dxa"/>
            <w:hideMark/>
          </w:tcPr>
          <w:p w14:paraId="712D9654"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18</w:t>
            </w:r>
          </w:p>
        </w:tc>
        <w:tc>
          <w:tcPr>
            <w:tcW w:w="1134" w:type="dxa"/>
            <w:hideMark/>
          </w:tcPr>
          <w:p w14:paraId="7CED08F3"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1160000</w:t>
            </w:r>
          </w:p>
        </w:tc>
        <w:tc>
          <w:tcPr>
            <w:tcW w:w="1275" w:type="dxa"/>
            <w:hideMark/>
          </w:tcPr>
          <w:p w14:paraId="2C7D5CF9" w14:textId="77777777" w:rsidR="00601BDA" w:rsidRPr="004138DD" w:rsidRDefault="00601BDA" w:rsidP="00601BDA">
            <w:pPr>
              <w:spacing w:line="276" w:lineRule="auto"/>
              <w:jc w:val="both"/>
              <w:rPr>
                <w:rFonts w:ascii="Arial" w:eastAsia="Bookman Old Style" w:hAnsi="Arial" w:cs="Arial"/>
                <w:sz w:val="20"/>
                <w:szCs w:val="24"/>
              </w:rPr>
            </w:pPr>
            <w:r w:rsidRPr="004138DD">
              <w:rPr>
                <w:rFonts w:ascii="Arial" w:eastAsia="Bookman Old Style" w:hAnsi="Arial" w:cs="Arial"/>
                <w:sz w:val="20"/>
                <w:szCs w:val="24"/>
              </w:rPr>
              <w:t>20880000</w:t>
            </w:r>
          </w:p>
        </w:tc>
        <w:tc>
          <w:tcPr>
            <w:tcW w:w="1560" w:type="dxa"/>
            <w:hideMark/>
          </w:tcPr>
          <w:p w14:paraId="60647853"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125280000</w:t>
            </w:r>
          </w:p>
        </w:tc>
        <w:tc>
          <w:tcPr>
            <w:tcW w:w="992" w:type="dxa"/>
            <w:hideMark/>
          </w:tcPr>
          <w:p w14:paraId="0968E704" w14:textId="77777777" w:rsidR="00601BDA" w:rsidRPr="004138DD" w:rsidRDefault="00601BDA" w:rsidP="00601BDA">
            <w:pPr>
              <w:spacing w:line="276" w:lineRule="auto"/>
              <w:jc w:val="center"/>
              <w:rPr>
                <w:rFonts w:ascii="Arial" w:eastAsia="Bookman Old Style" w:hAnsi="Arial" w:cs="Arial"/>
                <w:sz w:val="20"/>
                <w:szCs w:val="24"/>
              </w:rPr>
            </w:pPr>
            <w:r w:rsidRPr="004138DD">
              <w:rPr>
                <w:rFonts w:ascii="Arial" w:eastAsia="Bookman Old Style" w:hAnsi="Arial" w:cs="Arial"/>
                <w:sz w:val="20"/>
                <w:szCs w:val="24"/>
              </w:rPr>
              <w:t>10</w:t>
            </w:r>
          </w:p>
        </w:tc>
      </w:tr>
    </w:tbl>
    <w:p w14:paraId="16F639FB" w14:textId="77777777" w:rsidR="00601BDA" w:rsidRPr="004138DD" w:rsidRDefault="00601BDA" w:rsidP="00601BDA">
      <w:pPr>
        <w:pStyle w:val="Sinespaciado"/>
        <w:spacing w:line="276" w:lineRule="auto"/>
        <w:rPr>
          <w:rFonts w:ascii="Arial" w:hAnsi="Arial" w:cs="Arial"/>
          <w:sz w:val="24"/>
          <w:szCs w:val="24"/>
        </w:rPr>
      </w:pPr>
      <w:r w:rsidRPr="004138DD">
        <w:rPr>
          <w:rFonts w:ascii="Arial" w:hAnsi="Arial" w:cs="Arial"/>
          <w:sz w:val="24"/>
          <w:szCs w:val="24"/>
        </w:rPr>
        <w:fldChar w:fldCharType="end"/>
      </w:r>
    </w:p>
    <w:p w14:paraId="7F1B1325" w14:textId="77777777" w:rsidR="00601BDA" w:rsidRPr="004138DD" w:rsidRDefault="00601BDA" w:rsidP="00601BDA">
      <w:pPr>
        <w:pStyle w:val="Prrafodelista"/>
        <w:widowControl/>
        <w:numPr>
          <w:ilvl w:val="0"/>
          <w:numId w:val="9"/>
        </w:numPr>
        <w:pBdr>
          <w:top w:val="nil"/>
          <w:left w:val="nil"/>
          <w:bottom w:val="nil"/>
          <w:right w:val="nil"/>
          <w:between w:val="nil"/>
        </w:pBdr>
        <w:autoSpaceDE/>
        <w:autoSpaceDN/>
        <w:spacing w:after="160" w:line="276" w:lineRule="auto"/>
        <w:rPr>
          <w:rFonts w:ascii="Arial" w:eastAsia="Bookman Old Style" w:hAnsi="Arial" w:cs="Arial"/>
          <w:b/>
          <w:sz w:val="24"/>
          <w:szCs w:val="24"/>
        </w:rPr>
      </w:pPr>
      <w:r w:rsidRPr="004138DD">
        <w:rPr>
          <w:rFonts w:ascii="Arial" w:eastAsia="Bookman Old Style" w:hAnsi="Arial" w:cs="Arial"/>
          <w:b/>
          <w:sz w:val="24"/>
          <w:szCs w:val="24"/>
          <w:u w:val="single"/>
        </w:rPr>
        <w:t>CONFLICTO DE INTERÉS</w:t>
      </w:r>
    </w:p>
    <w:p w14:paraId="4CBA5ECA" w14:textId="77777777" w:rsidR="00601BDA" w:rsidRPr="004138DD" w:rsidRDefault="00601BDA" w:rsidP="00601BDA">
      <w:pPr>
        <w:tabs>
          <w:tab w:val="left" w:pos="7680"/>
        </w:tabs>
        <w:spacing w:line="276" w:lineRule="auto"/>
        <w:jc w:val="both"/>
        <w:rPr>
          <w:rFonts w:ascii="Arial" w:hAnsi="Arial" w:cs="Arial"/>
          <w:sz w:val="24"/>
          <w:szCs w:val="24"/>
        </w:rPr>
      </w:pPr>
      <w:r w:rsidRPr="004138DD">
        <w:rPr>
          <w:rFonts w:ascii="Arial" w:hAnsi="Arial" w:cs="Arial"/>
          <w:sz w:val="24"/>
          <w:szCs w:val="24"/>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24D33809" w14:textId="77777777" w:rsidR="00601BDA" w:rsidRPr="004138DD" w:rsidRDefault="00601BDA" w:rsidP="00601BDA">
      <w:pPr>
        <w:tabs>
          <w:tab w:val="left" w:pos="7680"/>
        </w:tabs>
        <w:spacing w:line="276" w:lineRule="auto"/>
        <w:jc w:val="both"/>
        <w:rPr>
          <w:rFonts w:ascii="Arial" w:hAnsi="Arial" w:cs="Arial"/>
          <w:sz w:val="24"/>
          <w:szCs w:val="24"/>
        </w:rPr>
      </w:pPr>
      <w:r w:rsidRPr="004138DD">
        <w:rPr>
          <w:rFonts w:ascii="Arial" w:hAnsi="Arial" w:cs="Arial"/>
          <w:sz w:val="24"/>
          <w:szCs w:val="24"/>
        </w:rPr>
        <w:t xml:space="preserve">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56198424" w14:textId="77777777" w:rsidR="00601BDA" w:rsidRPr="004138DD" w:rsidRDefault="00601BDA" w:rsidP="00601BDA">
      <w:pPr>
        <w:tabs>
          <w:tab w:val="left" w:pos="7680"/>
        </w:tabs>
        <w:spacing w:line="276" w:lineRule="auto"/>
        <w:jc w:val="both"/>
        <w:rPr>
          <w:rFonts w:ascii="Arial" w:hAnsi="Arial" w:cs="Arial"/>
          <w:sz w:val="24"/>
          <w:szCs w:val="24"/>
        </w:rPr>
      </w:pPr>
      <w:r w:rsidRPr="004138DD">
        <w:rPr>
          <w:rFonts w:ascii="Arial" w:hAnsi="Arial" w:cs="Arial"/>
          <w:sz w:val="24"/>
          <w:szCs w:val="24"/>
        </w:rPr>
        <w:t>Con base en lo anterior y, de acuerdo al carácter abstracto e impersonal de la norma, tenemos que en esta iniciativa legislativa</w:t>
      </w:r>
      <w:r w:rsidRPr="004138DD">
        <w:rPr>
          <w:rFonts w:ascii="Arial" w:hAnsi="Arial" w:cs="Arial"/>
          <w:sz w:val="24"/>
          <w:szCs w:val="24"/>
          <w:u w:val="single"/>
        </w:rPr>
        <w:t xml:space="preserve"> no se evidencia</w:t>
      </w:r>
      <w:r w:rsidRPr="004138DD">
        <w:rPr>
          <w:rFonts w:ascii="Arial" w:hAnsi="Arial" w:cs="Arial"/>
          <w:sz w:val="24"/>
          <w:szCs w:val="24"/>
        </w:rPr>
        <w:t xml:space="preserve"> que los 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sidRPr="004138DD">
        <w:rPr>
          <w:rFonts w:ascii="Arial" w:hAnsi="Arial" w:cs="Arial"/>
          <w:sz w:val="24"/>
          <w:szCs w:val="24"/>
        </w:rPr>
        <w:t>ibídem</w:t>
      </w:r>
      <w:proofErr w:type="spellEnd"/>
      <w:r w:rsidRPr="004138DD">
        <w:rPr>
          <w:rFonts w:ascii="Arial" w:hAnsi="Arial" w:cs="Arial"/>
          <w:sz w:val="24"/>
          <w:szCs w:val="24"/>
        </w:rPr>
        <w:t>: “Todos los congresistas deberán declarar los conflictos de intereses que pudieran surgir en ejercicio de sus funciones”.</w:t>
      </w:r>
    </w:p>
    <w:p w14:paraId="2BEF2EDF" w14:textId="77777777" w:rsidR="00601BDA" w:rsidRPr="004138DD" w:rsidRDefault="00601BDA" w:rsidP="00601BDA">
      <w:pPr>
        <w:tabs>
          <w:tab w:val="left" w:pos="567"/>
        </w:tabs>
        <w:spacing w:line="276" w:lineRule="auto"/>
        <w:jc w:val="center"/>
        <w:rPr>
          <w:rFonts w:ascii="Arial" w:eastAsia="Bookman Old Style" w:hAnsi="Arial" w:cs="Arial"/>
          <w:b/>
          <w:color w:val="000000"/>
          <w:sz w:val="24"/>
          <w:szCs w:val="24"/>
          <w:highlight w:val="white"/>
        </w:rPr>
      </w:pPr>
    </w:p>
    <w:p w14:paraId="11E5FA08" w14:textId="77777777" w:rsidR="00F25339" w:rsidRDefault="00F25339" w:rsidP="00601BDA">
      <w:pPr>
        <w:tabs>
          <w:tab w:val="left" w:pos="567"/>
        </w:tabs>
        <w:spacing w:line="276" w:lineRule="auto"/>
        <w:jc w:val="center"/>
        <w:rPr>
          <w:rFonts w:ascii="Arial" w:eastAsia="Bookman Old Style" w:hAnsi="Arial" w:cs="Arial"/>
          <w:b/>
          <w:color w:val="000000"/>
          <w:sz w:val="24"/>
          <w:szCs w:val="24"/>
          <w:highlight w:val="white"/>
        </w:rPr>
      </w:pPr>
    </w:p>
    <w:p w14:paraId="3EB5B04A" w14:textId="60585A48" w:rsidR="004138DD" w:rsidRDefault="004138DD" w:rsidP="00601BDA">
      <w:pPr>
        <w:tabs>
          <w:tab w:val="left" w:pos="567"/>
        </w:tabs>
        <w:spacing w:line="276" w:lineRule="auto"/>
        <w:jc w:val="center"/>
        <w:rPr>
          <w:rFonts w:ascii="Arial" w:eastAsia="Bookman Old Style" w:hAnsi="Arial" w:cs="Arial"/>
          <w:b/>
          <w:color w:val="000000"/>
          <w:sz w:val="24"/>
          <w:szCs w:val="24"/>
          <w:highlight w:val="white"/>
        </w:rPr>
      </w:pPr>
    </w:p>
    <w:p w14:paraId="388C6C2D" w14:textId="77777777" w:rsidR="00C32621" w:rsidRDefault="00C32621" w:rsidP="00601BDA">
      <w:pPr>
        <w:tabs>
          <w:tab w:val="left" w:pos="567"/>
        </w:tabs>
        <w:spacing w:line="276" w:lineRule="auto"/>
        <w:jc w:val="center"/>
        <w:rPr>
          <w:rFonts w:ascii="Arial" w:eastAsia="Bookman Old Style" w:hAnsi="Arial" w:cs="Arial"/>
          <w:b/>
          <w:color w:val="000000"/>
          <w:sz w:val="24"/>
          <w:szCs w:val="24"/>
          <w:highlight w:val="white"/>
        </w:rPr>
      </w:pPr>
    </w:p>
    <w:p w14:paraId="5B38E73D" w14:textId="77777777" w:rsidR="004138DD" w:rsidRDefault="004138DD" w:rsidP="00601BDA">
      <w:pPr>
        <w:tabs>
          <w:tab w:val="left" w:pos="567"/>
        </w:tabs>
        <w:spacing w:line="276" w:lineRule="auto"/>
        <w:jc w:val="center"/>
        <w:rPr>
          <w:rFonts w:ascii="Arial" w:eastAsia="Bookman Old Style" w:hAnsi="Arial" w:cs="Arial"/>
          <w:b/>
          <w:color w:val="000000"/>
          <w:sz w:val="24"/>
          <w:szCs w:val="24"/>
          <w:highlight w:val="white"/>
        </w:rPr>
      </w:pPr>
    </w:p>
    <w:p w14:paraId="310BFFA1" w14:textId="77777777" w:rsidR="004138DD" w:rsidRPr="004138DD" w:rsidRDefault="004138DD" w:rsidP="00601BDA">
      <w:pPr>
        <w:tabs>
          <w:tab w:val="left" w:pos="567"/>
        </w:tabs>
        <w:spacing w:line="276" w:lineRule="auto"/>
        <w:jc w:val="center"/>
        <w:rPr>
          <w:rFonts w:ascii="Arial" w:eastAsia="Bookman Old Style" w:hAnsi="Arial" w:cs="Arial"/>
          <w:b/>
          <w:color w:val="000000"/>
          <w:sz w:val="24"/>
          <w:szCs w:val="24"/>
          <w:highlight w:val="white"/>
        </w:rPr>
      </w:pPr>
    </w:p>
    <w:p w14:paraId="345A8F9E" w14:textId="77777777" w:rsidR="00C05EBC" w:rsidRPr="004138DD" w:rsidRDefault="00C05EBC" w:rsidP="00601BDA">
      <w:pPr>
        <w:tabs>
          <w:tab w:val="left" w:pos="567"/>
        </w:tabs>
        <w:spacing w:line="276" w:lineRule="auto"/>
        <w:jc w:val="center"/>
        <w:rPr>
          <w:rFonts w:ascii="Arial" w:eastAsia="Bookman Old Style" w:hAnsi="Arial" w:cs="Arial"/>
          <w:b/>
          <w:color w:val="000000"/>
          <w:sz w:val="24"/>
          <w:szCs w:val="24"/>
          <w:highlight w:val="white"/>
        </w:rPr>
      </w:pPr>
      <w:r w:rsidRPr="004138DD">
        <w:rPr>
          <w:rFonts w:ascii="Arial" w:eastAsia="Bookman Old Style" w:hAnsi="Arial" w:cs="Arial"/>
          <w:b/>
          <w:color w:val="000000"/>
          <w:sz w:val="24"/>
          <w:szCs w:val="24"/>
          <w:highlight w:val="white"/>
        </w:rPr>
        <w:lastRenderedPageBreak/>
        <w:t>PROPOSICIÓN</w:t>
      </w:r>
    </w:p>
    <w:p w14:paraId="114468DB" w14:textId="77777777" w:rsidR="00C05EBC" w:rsidRPr="004138DD" w:rsidRDefault="00C05EBC" w:rsidP="00601BDA">
      <w:pPr>
        <w:pBdr>
          <w:top w:val="nil"/>
          <w:left w:val="nil"/>
          <w:bottom w:val="nil"/>
          <w:right w:val="nil"/>
          <w:between w:val="nil"/>
        </w:pBdr>
        <w:tabs>
          <w:tab w:val="left" w:pos="567"/>
        </w:tabs>
        <w:spacing w:line="276" w:lineRule="auto"/>
        <w:ind w:left="813" w:hanging="355"/>
        <w:jc w:val="center"/>
        <w:rPr>
          <w:rFonts w:ascii="Arial" w:eastAsia="Bookman Old Style" w:hAnsi="Arial" w:cs="Arial"/>
          <w:b/>
          <w:color w:val="000000"/>
          <w:sz w:val="24"/>
          <w:szCs w:val="24"/>
          <w:highlight w:val="white"/>
        </w:rPr>
      </w:pPr>
    </w:p>
    <w:p w14:paraId="087765D7" w14:textId="77777777" w:rsidR="00C05EBC" w:rsidRPr="004138DD" w:rsidRDefault="00C05EBC" w:rsidP="00601BDA">
      <w:pPr>
        <w:widowControl/>
        <w:pBdr>
          <w:top w:val="nil"/>
          <w:left w:val="nil"/>
          <w:bottom w:val="nil"/>
          <w:right w:val="nil"/>
          <w:between w:val="nil"/>
        </w:pBdr>
        <w:tabs>
          <w:tab w:val="left" w:pos="567"/>
        </w:tabs>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Con fundamento en las anteriores consideraciones, presento ponencia positiva y se propone a la Comisión Primera de la Cámara de Representantes, dar primer debate al Proyecto de </w:t>
      </w:r>
      <w:r w:rsidR="00646D0F" w:rsidRPr="004138DD">
        <w:rPr>
          <w:rFonts w:ascii="Arial" w:eastAsia="Bookman Old Style" w:hAnsi="Arial" w:cs="Arial"/>
          <w:color w:val="000000"/>
          <w:sz w:val="24"/>
          <w:szCs w:val="24"/>
        </w:rPr>
        <w:t>Acto Legislativo</w:t>
      </w:r>
      <w:r w:rsidRPr="004138DD">
        <w:rPr>
          <w:rFonts w:ascii="Arial" w:eastAsia="Bookman Old Style" w:hAnsi="Arial" w:cs="Arial"/>
          <w:color w:val="000000"/>
          <w:sz w:val="24"/>
          <w:szCs w:val="24"/>
        </w:rPr>
        <w:t xml:space="preserve"> No. </w:t>
      </w:r>
      <w:r w:rsidR="00601BDA" w:rsidRPr="004138DD">
        <w:rPr>
          <w:rFonts w:ascii="Arial" w:eastAsia="Bookman Old Style" w:hAnsi="Arial" w:cs="Arial"/>
          <w:color w:val="000000"/>
          <w:sz w:val="24"/>
          <w:szCs w:val="24"/>
        </w:rPr>
        <w:t>155</w:t>
      </w:r>
      <w:r w:rsidRPr="004138DD">
        <w:rPr>
          <w:rFonts w:ascii="Arial" w:eastAsia="Bookman Old Style" w:hAnsi="Arial" w:cs="Arial"/>
          <w:color w:val="000000"/>
          <w:sz w:val="24"/>
          <w:szCs w:val="24"/>
        </w:rPr>
        <w:t xml:space="preserve"> de 2023 Cámara </w:t>
      </w:r>
      <w:r w:rsidR="00646D0F" w:rsidRPr="004138DD">
        <w:rPr>
          <w:rFonts w:ascii="Arial" w:eastAsia="Bookman Old Style" w:hAnsi="Arial" w:cs="Arial"/>
          <w:i/>
          <w:color w:val="000000"/>
          <w:sz w:val="24"/>
          <w:szCs w:val="24"/>
        </w:rPr>
        <w:t>“Por medio del cual se modifica el artículo 112 de la Constitución Política y se dictan otras disposiciones</w:t>
      </w:r>
      <w:r w:rsidRPr="004138DD">
        <w:rPr>
          <w:rFonts w:ascii="Arial" w:eastAsia="Bookman Old Style" w:hAnsi="Arial" w:cs="Arial"/>
          <w:i/>
          <w:color w:val="000000"/>
          <w:sz w:val="24"/>
          <w:szCs w:val="24"/>
        </w:rPr>
        <w:t>,</w:t>
      </w:r>
      <w:r w:rsidRPr="004138DD">
        <w:rPr>
          <w:rFonts w:ascii="Arial" w:eastAsia="Bookman Old Style" w:hAnsi="Arial" w:cs="Arial"/>
          <w:color w:val="000000"/>
          <w:sz w:val="24"/>
          <w:szCs w:val="24"/>
        </w:rPr>
        <w:t xml:space="preserve"> conforme al texto propuesto.</w:t>
      </w:r>
    </w:p>
    <w:p w14:paraId="678A9922" w14:textId="77777777" w:rsidR="00C05EBC" w:rsidRPr="004138DD" w:rsidRDefault="00C05EBC" w:rsidP="00601BDA">
      <w:pPr>
        <w:widowControl/>
        <w:pBdr>
          <w:top w:val="nil"/>
          <w:left w:val="nil"/>
          <w:bottom w:val="nil"/>
          <w:right w:val="nil"/>
          <w:between w:val="nil"/>
        </w:pBdr>
        <w:tabs>
          <w:tab w:val="left" w:pos="567"/>
        </w:tabs>
        <w:spacing w:line="276" w:lineRule="auto"/>
        <w:jc w:val="both"/>
        <w:rPr>
          <w:rFonts w:ascii="Arial" w:eastAsia="Bookman Old Style" w:hAnsi="Arial" w:cs="Arial"/>
          <w:color w:val="000000"/>
          <w:sz w:val="24"/>
          <w:szCs w:val="24"/>
        </w:rPr>
      </w:pPr>
    </w:p>
    <w:p w14:paraId="4B2197C0"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De los Honorables Representantes,</w:t>
      </w:r>
    </w:p>
    <w:p w14:paraId="62C777E4"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194F4930"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11B7645F"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43925140"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5F43DBB1"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b/>
          <w:color w:val="000000"/>
          <w:sz w:val="24"/>
          <w:szCs w:val="24"/>
        </w:rPr>
      </w:pPr>
      <w:r w:rsidRPr="004138DD">
        <w:rPr>
          <w:rFonts w:ascii="Arial" w:eastAsia="Bookman Old Style" w:hAnsi="Arial" w:cs="Arial"/>
          <w:b/>
          <w:color w:val="000000"/>
          <w:sz w:val="24"/>
          <w:szCs w:val="24"/>
        </w:rPr>
        <w:t>KARYME A. COTES MARTÍNEZ</w:t>
      </w:r>
      <w:r w:rsidRPr="004138DD">
        <w:rPr>
          <w:rFonts w:ascii="Arial" w:eastAsia="Bookman Old Style" w:hAnsi="Arial" w:cs="Arial"/>
          <w:b/>
          <w:color w:val="000000"/>
          <w:sz w:val="24"/>
          <w:szCs w:val="24"/>
        </w:rPr>
        <w:tab/>
      </w:r>
      <w:r w:rsidRPr="004138DD">
        <w:rPr>
          <w:rFonts w:ascii="Arial" w:eastAsia="Bookman Old Style" w:hAnsi="Arial" w:cs="Arial"/>
          <w:b/>
          <w:color w:val="000000"/>
          <w:sz w:val="24"/>
          <w:szCs w:val="24"/>
        </w:rPr>
        <w:tab/>
      </w:r>
      <w:r w:rsidRPr="004138DD">
        <w:rPr>
          <w:rFonts w:ascii="Arial" w:eastAsia="Bookman Old Style" w:hAnsi="Arial" w:cs="Arial"/>
          <w:b/>
          <w:color w:val="000000"/>
          <w:sz w:val="24"/>
          <w:szCs w:val="24"/>
        </w:rPr>
        <w:tab/>
      </w:r>
    </w:p>
    <w:p w14:paraId="494FEE2A"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Representante a la Cámara</w:t>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p>
    <w:p w14:paraId="1A70AB6F"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b/>
          <w:color w:val="000000"/>
          <w:sz w:val="24"/>
          <w:szCs w:val="24"/>
        </w:rPr>
      </w:pPr>
      <w:r w:rsidRPr="004138DD">
        <w:rPr>
          <w:rFonts w:ascii="Arial" w:eastAsia="Bookman Old Style" w:hAnsi="Arial" w:cs="Arial"/>
          <w:color w:val="000000"/>
          <w:sz w:val="24"/>
          <w:szCs w:val="24"/>
        </w:rPr>
        <w:t>Ponente</w:t>
      </w:r>
      <w:r w:rsidRPr="004138DD">
        <w:rPr>
          <w:rFonts w:ascii="Arial" w:eastAsia="Bookman Old Style" w:hAnsi="Arial" w:cs="Arial"/>
          <w:color w:val="000000"/>
          <w:sz w:val="24"/>
          <w:szCs w:val="24"/>
        </w:rPr>
        <w:tab/>
      </w:r>
    </w:p>
    <w:p w14:paraId="6F6D838F"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575CF4AB"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2423175E"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7144436B"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62DB4AA4"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11CB6FA4"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448695EF"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7A32C3DE"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089117E2"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414DF2DF"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666B3092"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39334FE5"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008CCB87"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3468AA86"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2E629E2A"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185A7B2D"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62343B3C"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08D152BE"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615FE809"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37559722"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6993C279"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649894F7"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4C97AEFB"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7220B88F"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6C553CEF" w14:textId="77777777" w:rsidR="00490D98" w:rsidRPr="004138DD" w:rsidRDefault="00490D98" w:rsidP="00601BDA">
      <w:pPr>
        <w:spacing w:line="276" w:lineRule="auto"/>
        <w:jc w:val="center"/>
        <w:rPr>
          <w:rFonts w:ascii="Arial" w:eastAsia="Bookman Old Style" w:hAnsi="Arial" w:cs="Arial"/>
          <w:b/>
          <w:color w:val="000000"/>
          <w:sz w:val="24"/>
          <w:szCs w:val="24"/>
        </w:rPr>
      </w:pPr>
    </w:p>
    <w:p w14:paraId="1D0F87C0" w14:textId="77777777" w:rsidR="00C05EBC" w:rsidRPr="004138DD" w:rsidRDefault="00C05EBC" w:rsidP="00601BDA">
      <w:pPr>
        <w:spacing w:line="276" w:lineRule="auto"/>
        <w:jc w:val="center"/>
        <w:rPr>
          <w:rFonts w:ascii="Arial" w:eastAsia="Bookman Old Style" w:hAnsi="Arial" w:cs="Arial"/>
          <w:b/>
          <w:color w:val="000000"/>
          <w:sz w:val="24"/>
          <w:szCs w:val="24"/>
        </w:rPr>
      </w:pPr>
      <w:r w:rsidRPr="004138DD">
        <w:rPr>
          <w:rFonts w:ascii="Arial" w:eastAsia="Bookman Old Style" w:hAnsi="Arial" w:cs="Arial"/>
          <w:b/>
          <w:color w:val="000000"/>
          <w:sz w:val="24"/>
          <w:szCs w:val="24"/>
        </w:rPr>
        <w:t>TEXTO PROPUESTO PARA PRIMER DEBATE</w:t>
      </w:r>
    </w:p>
    <w:p w14:paraId="77D78C04" w14:textId="77777777" w:rsidR="00646D0F" w:rsidRPr="004138DD" w:rsidRDefault="00646D0F" w:rsidP="00601BDA">
      <w:pPr>
        <w:spacing w:line="276" w:lineRule="auto"/>
        <w:jc w:val="center"/>
        <w:rPr>
          <w:rFonts w:ascii="Arial" w:eastAsia="Bookman Old Style" w:hAnsi="Arial" w:cs="Arial"/>
          <w:b/>
          <w:color w:val="000000"/>
          <w:sz w:val="24"/>
          <w:szCs w:val="24"/>
        </w:rPr>
      </w:pPr>
    </w:p>
    <w:p w14:paraId="2323694B" w14:textId="77777777" w:rsidR="00C05EBC" w:rsidRPr="004138DD" w:rsidRDefault="00C05EBC" w:rsidP="00601BDA">
      <w:pPr>
        <w:spacing w:line="276" w:lineRule="auto"/>
        <w:jc w:val="center"/>
        <w:rPr>
          <w:rFonts w:ascii="Arial" w:eastAsia="Bookman Old Style" w:hAnsi="Arial" w:cs="Arial"/>
          <w:color w:val="000000"/>
          <w:sz w:val="24"/>
          <w:szCs w:val="24"/>
        </w:rPr>
      </w:pPr>
      <w:r w:rsidRPr="004138DD">
        <w:rPr>
          <w:rFonts w:ascii="Arial" w:eastAsia="Bookman Old Style" w:hAnsi="Arial" w:cs="Arial"/>
          <w:color w:val="000000"/>
          <w:sz w:val="24"/>
          <w:szCs w:val="24"/>
        </w:rPr>
        <w:t xml:space="preserve">Proyecto de </w:t>
      </w:r>
      <w:r w:rsidR="00F25339" w:rsidRPr="004138DD">
        <w:rPr>
          <w:rFonts w:ascii="Arial" w:eastAsia="Bookman Old Style" w:hAnsi="Arial" w:cs="Arial"/>
          <w:color w:val="000000"/>
          <w:sz w:val="24"/>
          <w:szCs w:val="24"/>
        </w:rPr>
        <w:t>Acto Legislativo</w:t>
      </w:r>
      <w:r w:rsidRPr="004138DD">
        <w:rPr>
          <w:rFonts w:ascii="Arial" w:eastAsia="Bookman Old Style" w:hAnsi="Arial" w:cs="Arial"/>
          <w:color w:val="000000"/>
          <w:sz w:val="24"/>
          <w:szCs w:val="24"/>
        </w:rPr>
        <w:t xml:space="preserve"> No. </w:t>
      </w:r>
      <w:r w:rsidR="00F25339" w:rsidRPr="004138DD">
        <w:rPr>
          <w:rFonts w:ascii="Arial" w:eastAsia="Bookman Old Style" w:hAnsi="Arial" w:cs="Arial"/>
          <w:color w:val="000000"/>
          <w:sz w:val="24"/>
          <w:szCs w:val="24"/>
        </w:rPr>
        <w:t>155 de 2024</w:t>
      </w:r>
      <w:r w:rsidRPr="004138DD">
        <w:rPr>
          <w:rFonts w:ascii="Arial" w:eastAsia="Bookman Old Style" w:hAnsi="Arial" w:cs="Arial"/>
          <w:color w:val="000000"/>
          <w:sz w:val="24"/>
          <w:szCs w:val="24"/>
        </w:rPr>
        <w:t xml:space="preserve"> Cámara</w:t>
      </w:r>
    </w:p>
    <w:p w14:paraId="208B3532" w14:textId="77777777" w:rsidR="00646D0F" w:rsidRPr="004138DD" w:rsidRDefault="00646D0F" w:rsidP="00601BDA">
      <w:pPr>
        <w:spacing w:line="276" w:lineRule="auto"/>
        <w:jc w:val="center"/>
        <w:rPr>
          <w:rFonts w:ascii="Arial" w:eastAsia="Bookman Old Style" w:hAnsi="Arial" w:cs="Arial"/>
          <w:b/>
          <w:color w:val="000000"/>
          <w:sz w:val="24"/>
          <w:szCs w:val="24"/>
        </w:rPr>
      </w:pPr>
    </w:p>
    <w:p w14:paraId="17847591" w14:textId="77777777" w:rsidR="00F25339" w:rsidRPr="004138DD" w:rsidRDefault="00F25339" w:rsidP="00F25339">
      <w:pPr>
        <w:jc w:val="center"/>
        <w:rPr>
          <w:rFonts w:ascii="Arial" w:hAnsi="Arial" w:cs="Arial"/>
          <w:b/>
          <w:sz w:val="24"/>
          <w:szCs w:val="24"/>
        </w:rPr>
      </w:pPr>
      <w:r w:rsidRPr="004138DD">
        <w:rPr>
          <w:rFonts w:ascii="Arial" w:hAnsi="Arial" w:cs="Arial"/>
          <w:sz w:val="24"/>
          <w:szCs w:val="24"/>
        </w:rPr>
        <w:t>“POR MEDIO DEL CUAL SE MODIFICA EL ARTICULO 112 DE LA CONSTITUCIÓN POLÍTICA Y SE DICTAN OTRAS DISPOSICIONES”</w:t>
      </w:r>
      <w:r w:rsidRPr="004138DD">
        <w:rPr>
          <w:rFonts w:ascii="Arial" w:hAnsi="Arial" w:cs="Arial"/>
          <w:b/>
          <w:sz w:val="24"/>
          <w:szCs w:val="24"/>
        </w:rPr>
        <w:t>.</w:t>
      </w:r>
    </w:p>
    <w:p w14:paraId="4F9EEA35" w14:textId="77777777" w:rsidR="00F25339" w:rsidRPr="004138DD" w:rsidRDefault="00F25339" w:rsidP="00F25339">
      <w:pPr>
        <w:jc w:val="center"/>
        <w:rPr>
          <w:rFonts w:ascii="Arial" w:hAnsi="Arial" w:cs="Arial"/>
          <w:b/>
          <w:sz w:val="24"/>
          <w:szCs w:val="24"/>
        </w:rPr>
      </w:pPr>
    </w:p>
    <w:p w14:paraId="1E8BC561" w14:textId="77777777" w:rsidR="00F25339" w:rsidRPr="004138DD" w:rsidRDefault="00F25339" w:rsidP="00F25339">
      <w:pPr>
        <w:jc w:val="center"/>
        <w:rPr>
          <w:rFonts w:ascii="Arial" w:hAnsi="Arial" w:cs="Arial"/>
          <w:b/>
          <w:sz w:val="24"/>
          <w:szCs w:val="24"/>
        </w:rPr>
      </w:pPr>
      <w:r w:rsidRPr="004138DD">
        <w:rPr>
          <w:rFonts w:ascii="Arial" w:hAnsi="Arial" w:cs="Arial"/>
          <w:b/>
          <w:sz w:val="24"/>
          <w:szCs w:val="24"/>
        </w:rPr>
        <w:t>El Congreso de Colombia,</w:t>
      </w:r>
    </w:p>
    <w:p w14:paraId="731FD0B5" w14:textId="77777777" w:rsidR="00F25339" w:rsidRPr="004138DD" w:rsidRDefault="00F25339" w:rsidP="00F25339">
      <w:pPr>
        <w:pStyle w:val="Sinespaciado"/>
        <w:rPr>
          <w:rFonts w:ascii="Arial" w:hAnsi="Arial" w:cs="Arial"/>
          <w:sz w:val="24"/>
          <w:szCs w:val="24"/>
        </w:rPr>
      </w:pPr>
    </w:p>
    <w:p w14:paraId="2696B1FB" w14:textId="77777777" w:rsidR="00F25339" w:rsidRPr="004138DD" w:rsidRDefault="00F25339" w:rsidP="00F25339">
      <w:pPr>
        <w:jc w:val="center"/>
        <w:rPr>
          <w:rFonts w:ascii="Arial" w:hAnsi="Arial" w:cs="Arial"/>
          <w:b/>
          <w:sz w:val="24"/>
          <w:szCs w:val="24"/>
        </w:rPr>
      </w:pPr>
      <w:r w:rsidRPr="004138DD">
        <w:rPr>
          <w:rFonts w:ascii="Arial" w:hAnsi="Arial" w:cs="Arial"/>
          <w:b/>
          <w:sz w:val="24"/>
          <w:szCs w:val="24"/>
        </w:rPr>
        <w:t>DECRETA:</w:t>
      </w:r>
    </w:p>
    <w:p w14:paraId="7E36B855" w14:textId="77777777" w:rsidR="00646D0F" w:rsidRPr="004138DD" w:rsidRDefault="00646D0F" w:rsidP="00F25339">
      <w:pPr>
        <w:jc w:val="center"/>
        <w:rPr>
          <w:rFonts w:ascii="Arial" w:hAnsi="Arial" w:cs="Arial"/>
          <w:b/>
          <w:sz w:val="24"/>
          <w:szCs w:val="24"/>
        </w:rPr>
      </w:pPr>
    </w:p>
    <w:p w14:paraId="144A8008" w14:textId="77777777" w:rsidR="00F25339" w:rsidRPr="004138DD" w:rsidRDefault="00646D0F" w:rsidP="00F25339">
      <w:pPr>
        <w:jc w:val="both"/>
        <w:rPr>
          <w:rFonts w:ascii="Arial" w:hAnsi="Arial" w:cs="Arial"/>
          <w:sz w:val="24"/>
          <w:szCs w:val="24"/>
        </w:rPr>
      </w:pPr>
      <w:bookmarkStart w:id="0" w:name="bookmark=id.30j0zll" w:colFirst="0" w:colLast="0"/>
      <w:bookmarkEnd w:id="0"/>
      <w:r w:rsidRPr="004138DD">
        <w:rPr>
          <w:rFonts w:ascii="Arial" w:hAnsi="Arial" w:cs="Arial"/>
          <w:b/>
          <w:smallCaps/>
          <w:sz w:val="24"/>
          <w:szCs w:val="24"/>
        </w:rPr>
        <w:t>ARTÍCULO 1</w:t>
      </w:r>
      <w:r w:rsidR="00F25339" w:rsidRPr="004138DD">
        <w:rPr>
          <w:rFonts w:ascii="Arial" w:hAnsi="Arial" w:cs="Arial"/>
          <w:b/>
          <w:smallCaps/>
          <w:sz w:val="24"/>
          <w:szCs w:val="24"/>
        </w:rPr>
        <w:t xml:space="preserve">. </w:t>
      </w:r>
      <w:r w:rsidR="00F25339" w:rsidRPr="004138DD">
        <w:rPr>
          <w:rFonts w:ascii="Arial" w:hAnsi="Arial" w:cs="Arial"/>
          <w:sz w:val="24"/>
          <w:szCs w:val="24"/>
        </w:rPr>
        <w:t>Modifíquese el artículo 112 de la Constitución Política, el cual quedará así:</w:t>
      </w:r>
    </w:p>
    <w:p w14:paraId="091E5CCB" w14:textId="77777777" w:rsidR="00646D0F" w:rsidRPr="004138DD" w:rsidRDefault="00646D0F" w:rsidP="00F25339">
      <w:pPr>
        <w:jc w:val="both"/>
        <w:rPr>
          <w:rFonts w:ascii="Arial" w:hAnsi="Arial" w:cs="Arial"/>
          <w:sz w:val="24"/>
          <w:szCs w:val="24"/>
        </w:rPr>
      </w:pPr>
    </w:p>
    <w:p w14:paraId="6CDA9FD3"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r w:rsidRPr="004138DD">
        <w:rPr>
          <w:rFonts w:ascii="Arial" w:eastAsiaTheme="minorHAnsi" w:hAnsi="Arial" w:cs="Arial"/>
          <w:b/>
          <w:lang w:eastAsia="en-US"/>
        </w:rPr>
        <w:t>ARTÍCULO 112.</w:t>
      </w:r>
      <w:r w:rsidRPr="004138DD">
        <w:rPr>
          <w:rFonts w:ascii="Arial" w:eastAsiaTheme="minorHAnsi" w:hAnsi="Arial" w:cs="Arial"/>
          <w:lang w:eastAsia="en-US"/>
        </w:rPr>
        <w:t>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1A3257D1"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p>
    <w:p w14:paraId="185FB1A3"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r w:rsidRPr="004138DD">
        <w:rPr>
          <w:rFonts w:ascii="Arial" w:eastAsiaTheme="minorHAnsi" w:hAnsi="Arial" w:cs="Arial"/>
          <w:lang w:eastAsia="en-US"/>
        </w:rPr>
        <w:t>Los partidos y movimientos minoritarios con personería jurídica tendrán derecho a participar en las mesas directivas de los cuerpos colegiados, según su representación en ellos.</w:t>
      </w:r>
    </w:p>
    <w:p w14:paraId="2A2E8359"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p>
    <w:p w14:paraId="5571AB99"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r w:rsidRPr="004138DD">
        <w:rPr>
          <w:rFonts w:ascii="Arial" w:eastAsiaTheme="minorHAnsi" w:hAnsi="Arial" w:cs="Arial"/>
          <w:lang w:eastAsia="en-US"/>
        </w:rPr>
        <w:t>Una ley estatutaria reglamentará íntegramente la materia.</w:t>
      </w:r>
    </w:p>
    <w:p w14:paraId="04D0E441"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p>
    <w:p w14:paraId="5CD132A8"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r w:rsidRPr="004138DD">
        <w:rPr>
          <w:rFonts w:ascii="Arial" w:eastAsiaTheme="minorHAnsi" w:hAnsi="Arial" w:cs="Arial"/>
          <w:lang w:eastAsia="en-US"/>
        </w:rPr>
        <w:t xml:space="preserve">El candidato que le siga en votos a quien la autoridad electoral declare elegido en el cargo de </w:t>
      </w:r>
      <w:proofErr w:type="gramStart"/>
      <w:r w:rsidRPr="004138DD">
        <w:rPr>
          <w:rFonts w:ascii="Arial" w:eastAsiaTheme="minorHAnsi" w:hAnsi="Arial" w:cs="Arial"/>
          <w:lang w:eastAsia="en-US"/>
        </w:rPr>
        <w:t>Presidente</w:t>
      </w:r>
      <w:proofErr w:type="gramEnd"/>
      <w:r w:rsidRPr="004138DD">
        <w:rPr>
          <w:rFonts w:ascii="Arial" w:eastAsiaTheme="minorHAnsi" w:hAnsi="Arial" w:cs="Arial"/>
          <w:lang w:eastAsia="en-US"/>
        </w:rPr>
        <w:t xml:space="preserve"> y Vicepresidente de la República, Gobernador de Departamento, Alcalde Distrital y Alcalde municipal tendrá el derecho personal a ocupar una curul en el Senado, Cámara de Representantes, Asamblea Departamental, Concejo Distrital y Concejo Municipal, respectivamente, durante el período de la correspondiente corporación.</w:t>
      </w:r>
    </w:p>
    <w:p w14:paraId="609134D7"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p>
    <w:p w14:paraId="3DA505D4"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r w:rsidRPr="004138DD">
        <w:rPr>
          <w:rFonts w:ascii="Arial" w:eastAsiaTheme="minorHAnsi" w:hAnsi="Arial" w:cs="Arial"/>
          <w:lang w:eastAsia="en-US"/>
        </w:rPr>
        <w:t xml:space="preserve">Las curules </w:t>
      </w:r>
      <w:r w:rsidRPr="004138DD">
        <w:rPr>
          <w:rFonts w:ascii="Arial" w:eastAsiaTheme="minorHAnsi" w:hAnsi="Arial" w:cs="Arial"/>
          <w:strike/>
          <w:lang w:eastAsia="en-US"/>
        </w:rPr>
        <w:t>así</w:t>
      </w:r>
      <w:r w:rsidRPr="004138DD">
        <w:rPr>
          <w:rFonts w:ascii="Arial" w:eastAsiaTheme="minorHAnsi" w:hAnsi="Arial" w:cs="Arial"/>
          <w:lang w:eastAsia="en-US"/>
        </w:rPr>
        <w:t xml:space="preserve"> asignadas </w:t>
      </w:r>
      <w:r w:rsidRPr="004138DD">
        <w:rPr>
          <w:rFonts w:ascii="Arial" w:eastAsiaTheme="minorHAnsi" w:hAnsi="Arial" w:cs="Arial"/>
          <w:b/>
          <w:u w:val="single"/>
          <w:lang w:eastAsia="en-US"/>
        </w:rPr>
        <w:t>de las que trata el inciso anterior</w:t>
      </w:r>
      <w:r w:rsidRPr="004138DD">
        <w:rPr>
          <w:rFonts w:ascii="Arial" w:eastAsiaTheme="minorHAnsi" w:hAnsi="Arial" w:cs="Arial"/>
          <w:lang w:eastAsia="en-US"/>
        </w:rPr>
        <w:t xml:space="preserve"> </w:t>
      </w:r>
      <w:r w:rsidRPr="004138DD">
        <w:rPr>
          <w:rFonts w:ascii="Arial" w:eastAsiaTheme="minorHAnsi" w:hAnsi="Arial" w:cs="Arial"/>
          <w:strike/>
          <w:lang w:eastAsia="en-US"/>
        </w:rPr>
        <w:t>en el Senado de la República y en la Cámara de Representantes</w:t>
      </w:r>
      <w:r w:rsidRPr="004138DD">
        <w:rPr>
          <w:rFonts w:ascii="Arial" w:eastAsiaTheme="minorHAnsi" w:hAnsi="Arial" w:cs="Arial"/>
          <w:lang w:eastAsia="en-US"/>
        </w:rPr>
        <w:t xml:space="preserve"> serán adicionales a las previstas en los artículos 171</w:t>
      </w:r>
      <w:r w:rsidRPr="004138DD">
        <w:rPr>
          <w:rFonts w:ascii="Arial" w:eastAsiaTheme="minorHAnsi" w:hAnsi="Arial" w:cs="Arial"/>
          <w:b/>
          <w:u w:val="single"/>
          <w:lang w:eastAsia="en-US"/>
        </w:rPr>
        <w:t>,</w:t>
      </w:r>
      <w:r w:rsidRPr="004138DD">
        <w:rPr>
          <w:rFonts w:ascii="Arial" w:eastAsiaTheme="minorHAnsi" w:hAnsi="Arial" w:cs="Arial"/>
          <w:lang w:eastAsia="en-US"/>
        </w:rPr>
        <w:t xml:space="preserve"> </w:t>
      </w:r>
      <w:r w:rsidRPr="004138DD">
        <w:rPr>
          <w:rFonts w:ascii="Arial" w:eastAsiaTheme="minorHAnsi" w:hAnsi="Arial" w:cs="Arial"/>
          <w:strike/>
          <w:lang w:eastAsia="en-US"/>
        </w:rPr>
        <w:t>y</w:t>
      </w:r>
      <w:r w:rsidRPr="004138DD">
        <w:rPr>
          <w:rFonts w:ascii="Arial" w:eastAsiaTheme="minorHAnsi" w:hAnsi="Arial" w:cs="Arial"/>
          <w:lang w:eastAsia="en-US"/>
        </w:rPr>
        <w:t xml:space="preserve"> 176</w:t>
      </w:r>
      <w:r w:rsidRPr="004138DD">
        <w:rPr>
          <w:rFonts w:ascii="Arial" w:eastAsiaTheme="minorHAnsi" w:hAnsi="Arial" w:cs="Arial"/>
          <w:b/>
          <w:u w:val="single"/>
          <w:lang w:eastAsia="en-US"/>
        </w:rPr>
        <w:t>, 299 y 312</w:t>
      </w:r>
      <w:r w:rsidRPr="004138DD">
        <w:rPr>
          <w:rFonts w:ascii="Arial" w:eastAsiaTheme="minorHAnsi" w:hAnsi="Arial" w:cs="Arial"/>
          <w:lang w:eastAsia="en-US"/>
        </w:rPr>
        <w:t xml:space="preserve">. </w:t>
      </w:r>
      <w:r w:rsidRPr="004138DD">
        <w:rPr>
          <w:rFonts w:ascii="Arial" w:eastAsiaTheme="minorHAnsi" w:hAnsi="Arial" w:cs="Arial"/>
          <w:strike/>
          <w:lang w:eastAsia="en-US"/>
        </w:rPr>
        <w:t>Las demás curules no aumentarán el número de miembros de dichas corporaciones.</w:t>
      </w:r>
    </w:p>
    <w:p w14:paraId="7EDD7B2A"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p>
    <w:p w14:paraId="11CB02B5"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r w:rsidRPr="004138DD">
        <w:rPr>
          <w:rFonts w:ascii="Arial" w:eastAsiaTheme="minorHAnsi" w:hAnsi="Arial" w:cs="Arial"/>
          <w:lang w:eastAsia="en-US"/>
        </w:rPr>
        <w:t xml:space="preserve">En caso de no aceptación de la curul </w:t>
      </w:r>
      <w:r w:rsidRPr="004138DD">
        <w:rPr>
          <w:rFonts w:ascii="Arial" w:eastAsiaTheme="minorHAnsi" w:hAnsi="Arial" w:cs="Arial"/>
          <w:b/>
          <w:u w:val="single"/>
          <w:lang w:eastAsia="en-US"/>
        </w:rPr>
        <w:t>adicional,</w:t>
      </w:r>
      <w:r w:rsidRPr="004138DD">
        <w:rPr>
          <w:rFonts w:ascii="Arial" w:eastAsiaTheme="minorHAnsi" w:hAnsi="Arial" w:cs="Arial"/>
          <w:lang w:eastAsia="en-US"/>
        </w:rPr>
        <w:t xml:space="preserve"> </w:t>
      </w:r>
      <w:r w:rsidRPr="004138DD">
        <w:rPr>
          <w:rFonts w:ascii="Arial" w:eastAsiaTheme="minorHAnsi" w:hAnsi="Arial" w:cs="Arial"/>
          <w:strike/>
          <w:lang w:eastAsia="en-US"/>
        </w:rPr>
        <w:t>en las corporaciones públicas de las entidades territoriales,</w:t>
      </w:r>
      <w:r w:rsidRPr="004138DD">
        <w:rPr>
          <w:rFonts w:ascii="Arial" w:eastAsiaTheme="minorHAnsi" w:hAnsi="Arial" w:cs="Arial"/>
          <w:lang w:eastAsia="en-US"/>
        </w:rPr>
        <w:t xml:space="preserve"> la misma </w:t>
      </w:r>
      <w:r w:rsidRPr="004138DD">
        <w:rPr>
          <w:rFonts w:ascii="Arial" w:eastAsiaTheme="minorHAnsi" w:hAnsi="Arial" w:cs="Arial"/>
          <w:b/>
          <w:u w:val="single"/>
          <w:lang w:eastAsia="en-US"/>
        </w:rPr>
        <w:t xml:space="preserve">no podrá ser asignada a quien no ostente la </w:t>
      </w:r>
      <w:r w:rsidRPr="004138DD">
        <w:rPr>
          <w:rFonts w:ascii="Arial" w:eastAsiaTheme="minorHAnsi" w:hAnsi="Arial" w:cs="Arial"/>
          <w:b/>
          <w:u w:val="single"/>
          <w:lang w:eastAsia="en-US"/>
        </w:rPr>
        <w:lastRenderedPageBreak/>
        <w:t>calidad indicada en el inciso cuarto del presente artículo.</w:t>
      </w:r>
      <w:r w:rsidRPr="004138DD">
        <w:rPr>
          <w:rFonts w:ascii="Arial" w:eastAsiaTheme="minorHAnsi" w:hAnsi="Arial" w:cs="Arial"/>
          <w:lang w:eastAsia="en-US"/>
        </w:rPr>
        <w:t xml:space="preserve"> </w:t>
      </w:r>
      <w:r w:rsidRPr="004138DD">
        <w:rPr>
          <w:rFonts w:ascii="Arial" w:eastAsiaTheme="minorHAnsi" w:hAnsi="Arial" w:cs="Arial"/>
          <w:strike/>
          <w:lang w:eastAsia="en-US"/>
        </w:rPr>
        <w:t>se asignará de acuerdo con la regla general de asignación de curules prevista en el artículo 263.</w:t>
      </w:r>
    </w:p>
    <w:p w14:paraId="34338464"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p>
    <w:p w14:paraId="376AB15E"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r w:rsidRPr="004138DD">
        <w:rPr>
          <w:rFonts w:ascii="Arial" w:eastAsiaTheme="minorHAnsi" w:hAnsi="Arial" w:cs="Arial"/>
          <w:b/>
          <w:bCs/>
          <w:lang w:eastAsia="en-US"/>
        </w:rPr>
        <w:t>PARÁGRAFO TRANSITORIO.</w:t>
      </w:r>
      <w:r w:rsidRPr="004138DD">
        <w:rPr>
          <w:rFonts w:ascii="Arial" w:eastAsiaTheme="minorHAnsi" w:hAnsi="Arial" w:cs="Arial"/>
          <w:lang w:eastAsia="en-US"/>
        </w:rPr>
        <w:t> La asignación de las curules mencionadas en este artículo no será aplicable para las elecciones celebradas en el año 2015.</w:t>
      </w:r>
    </w:p>
    <w:p w14:paraId="1323301A" w14:textId="77777777" w:rsidR="00F25339" w:rsidRPr="004138DD" w:rsidRDefault="00F25339" w:rsidP="00F25339">
      <w:pPr>
        <w:pStyle w:val="NormalWeb"/>
        <w:shd w:val="clear" w:color="auto" w:fill="FFFFFF"/>
        <w:spacing w:before="0" w:beforeAutospacing="0" w:after="0" w:afterAutospacing="0"/>
        <w:ind w:left="284" w:right="333"/>
        <w:jc w:val="both"/>
        <w:rPr>
          <w:rFonts w:ascii="Arial" w:eastAsiaTheme="minorHAnsi" w:hAnsi="Arial" w:cs="Arial"/>
          <w:lang w:eastAsia="en-US"/>
        </w:rPr>
      </w:pPr>
    </w:p>
    <w:p w14:paraId="47F91DD3" w14:textId="77777777" w:rsidR="00F25339" w:rsidRPr="004138DD" w:rsidRDefault="00646D0F" w:rsidP="00F25339">
      <w:pPr>
        <w:jc w:val="both"/>
        <w:rPr>
          <w:rFonts w:ascii="Arial" w:hAnsi="Arial" w:cs="Arial"/>
          <w:sz w:val="24"/>
          <w:szCs w:val="24"/>
        </w:rPr>
      </w:pPr>
      <w:r w:rsidRPr="004138DD">
        <w:rPr>
          <w:rFonts w:ascii="Arial" w:hAnsi="Arial" w:cs="Arial"/>
          <w:b/>
          <w:smallCaps/>
          <w:sz w:val="24"/>
          <w:szCs w:val="24"/>
        </w:rPr>
        <w:t>ARTÍCULO 2</w:t>
      </w:r>
      <w:r w:rsidR="00F25339" w:rsidRPr="004138DD">
        <w:rPr>
          <w:rFonts w:ascii="Arial" w:hAnsi="Arial" w:cs="Arial"/>
          <w:b/>
          <w:smallCaps/>
          <w:sz w:val="24"/>
          <w:szCs w:val="24"/>
        </w:rPr>
        <w:t xml:space="preserve">. VIGENCIA Y APLICACIÓN. </w:t>
      </w:r>
      <w:r w:rsidR="00F25339" w:rsidRPr="004138DD">
        <w:rPr>
          <w:rFonts w:ascii="Arial" w:hAnsi="Arial" w:cs="Arial"/>
          <w:sz w:val="24"/>
          <w:szCs w:val="24"/>
        </w:rPr>
        <w:t>El presente Acto Legislativo rige a partir de su publicación.</w:t>
      </w:r>
    </w:p>
    <w:p w14:paraId="3AFA1353" w14:textId="77777777" w:rsidR="00C05EBC" w:rsidRPr="004138DD" w:rsidRDefault="00C05EBC" w:rsidP="00601BDA">
      <w:pPr>
        <w:widowControl/>
        <w:pBdr>
          <w:top w:val="nil"/>
          <w:left w:val="nil"/>
          <w:bottom w:val="nil"/>
          <w:right w:val="nil"/>
          <w:between w:val="nil"/>
        </w:pBdr>
        <w:spacing w:line="276" w:lineRule="auto"/>
        <w:jc w:val="both"/>
        <w:rPr>
          <w:rFonts w:ascii="Arial" w:hAnsi="Arial" w:cs="Arial"/>
        </w:rPr>
      </w:pPr>
    </w:p>
    <w:p w14:paraId="26C431AB"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De los Honorables Representantes,</w:t>
      </w:r>
    </w:p>
    <w:p w14:paraId="4FB230C8"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02064353"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45517263"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609E1263"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2B344951"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b/>
          <w:color w:val="000000"/>
          <w:sz w:val="24"/>
          <w:szCs w:val="24"/>
        </w:rPr>
      </w:pPr>
      <w:r w:rsidRPr="004138DD">
        <w:rPr>
          <w:rFonts w:ascii="Arial" w:eastAsia="Bookman Old Style" w:hAnsi="Arial" w:cs="Arial"/>
          <w:b/>
          <w:color w:val="000000"/>
          <w:sz w:val="24"/>
          <w:szCs w:val="24"/>
        </w:rPr>
        <w:t>KARYME A. COTES MARTÍNEZ</w:t>
      </w:r>
      <w:r w:rsidRPr="004138DD">
        <w:rPr>
          <w:rFonts w:ascii="Arial" w:eastAsia="Bookman Old Style" w:hAnsi="Arial" w:cs="Arial"/>
          <w:b/>
          <w:color w:val="000000"/>
          <w:sz w:val="24"/>
          <w:szCs w:val="24"/>
        </w:rPr>
        <w:tab/>
      </w:r>
      <w:r w:rsidRPr="004138DD">
        <w:rPr>
          <w:rFonts w:ascii="Arial" w:eastAsia="Bookman Old Style" w:hAnsi="Arial" w:cs="Arial"/>
          <w:b/>
          <w:color w:val="000000"/>
          <w:sz w:val="24"/>
          <w:szCs w:val="24"/>
        </w:rPr>
        <w:tab/>
      </w:r>
      <w:r w:rsidRPr="004138DD">
        <w:rPr>
          <w:rFonts w:ascii="Arial" w:eastAsia="Bookman Old Style" w:hAnsi="Arial" w:cs="Arial"/>
          <w:b/>
          <w:color w:val="000000"/>
          <w:sz w:val="24"/>
          <w:szCs w:val="24"/>
        </w:rPr>
        <w:tab/>
      </w:r>
    </w:p>
    <w:p w14:paraId="0FED6ABE"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Representante a la Cámara</w:t>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p>
    <w:p w14:paraId="2224A4FC"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r w:rsidRPr="004138DD">
        <w:rPr>
          <w:rFonts w:ascii="Arial" w:eastAsia="Bookman Old Style" w:hAnsi="Arial" w:cs="Arial"/>
          <w:color w:val="000000"/>
          <w:sz w:val="24"/>
          <w:szCs w:val="24"/>
        </w:rPr>
        <w:t>Ponente</w:t>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r w:rsidRPr="004138DD">
        <w:rPr>
          <w:rFonts w:ascii="Arial" w:eastAsia="Bookman Old Style" w:hAnsi="Arial" w:cs="Arial"/>
          <w:color w:val="000000"/>
          <w:sz w:val="24"/>
          <w:szCs w:val="24"/>
        </w:rPr>
        <w:tab/>
      </w:r>
    </w:p>
    <w:p w14:paraId="72DA2698"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36078743"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59DCDA7F"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08B72D15" w14:textId="77777777" w:rsidR="00C05EBC" w:rsidRPr="004138DD" w:rsidRDefault="00C05EBC" w:rsidP="00601BDA">
      <w:pPr>
        <w:widowControl/>
        <w:pBdr>
          <w:top w:val="nil"/>
          <w:left w:val="nil"/>
          <w:bottom w:val="nil"/>
          <w:right w:val="nil"/>
          <w:between w:val="nil"/>
        </w:pBdr>
        <w:spacing w:line="276" w:lineRule="auto"/>
        <w:jc w:val="both"/>
        <w:rPr>
          <w:rFonts w:ascii="Arial" w:eastAsia="Bookman Old Style" w:hAnsi="Arial" w:cs="Arial"/>
          <w:color w:val="000000"/>
          <w:sz w:val="24"/>
          <w:szCs w:val="24"/>
        </w:rPr>
      </w:pPr>
    </w:p>
    <w:p w14:paraId="7649242A" w14:textId="77777777" w:rsidR="00C05EBC" w:rsidRPr="004138DD" w:rsidRDefault="00C05EBC" w:rsidP="00601BDA">
      <w:pPr>
        <w:spacing w:line="276" w:lineRule="auto"/>
        <w:rPr>
          <w:rFonts w:ascii="Arial" w:eastAsia="Bookman Old Style" w:hAnsi="Arial" w:cs="Arial"/>
          <w:sz w:val="24"/>
          <w:szCs w:val="24"/>
        </w:rPr>
      </w:pPr>
    </w:p>
    <w:p w14:paraId="6EFD5F88" w14:textId="77777777" w:rsidR="00C05EBC" w:rsidRPr="004138DD" w:rsidRDefault="00C05EBC" w:rsidP="00601BDA">
      <w:pPr>
        <w:spacing w:line="276" w:lineRule="auto"/>
        <w:rPr>
          <w:rFonts w:ascii="Arial" w:hAnsi="Arial" w:cs="Arial"/>
        </w:rPr>
      </w:pPr>
    </w:p>
    <w:p w14:paraId="0946E36A" w14:textId="77777777" w:rsidR="00A666B7" w:rsidRPr="004138DD" w:rsidRDefault="00A666B7" w:rsidP="00601BDA">
      <w:pPr>
        <w:spacing w:line="276" w:lineRule="auto"/>
        <w:rPr>
          <w:rFonts w:ascii="Arial" w:hAnsi="Arial" w:cs="Arial"/>
        </w:rPr>
      </w:pPr>
    </w:p>
    <w:sectPr w:rsidR="00A666B7" w:rsidRPr="004138DD">
      <w:headerReference w:type="default" r:id="rId8"/>
      <w:footerReference w:type="default" r:id="rId9"/>
      <w:pgSz w:w="12240" w:h="15840"/>
      <w:pgMar w:top="1985" w:right="1320" w:bottom="840" w:left="1340" w:header="609"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A612" w14:textId="77777777" w:rsidR="00BB42C3" w:rsidRDefault="00BB42C3">
      <w:r>
        <w:separator/>
      </w:r>
    </w:p>
  </w:endnote>
  <w:endnote w:type="continuationSeparator" w:id="0">
    <w:p w14:paraId="1EA8B254" w14:textId="77777777" w:rsidR="00BB42C3" w:rsidRDefault="00BB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re Franklin">
    <w:altName w:val="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2031"/>
      <w:docPartObj>
        <w:docPartGallery w:val="Page Numbers (Bottom of Page)"/>
        <w:docPartUnique/>
      </w:docPartObj>
    </w:sdtPr>
    <w:sdtEndPr/>
    <w:sdtContent>
      <w:p w14:paraId="60829B8C" w14:textId="77777777" w:rsidR="00BE36ED" w:rsidRDefault="00BE36ED">
        <w:pPr>
          <w:pStyle w:val="Piedepgina"/>
          <w:jc w:val="right"/>
        </w:pPr>
        <w:r>
          <w:fldChar w:fldCharType="begin"/>
        </w:r>
        <w:r>
          <w:instrText>PAGE   \* MERGEFORMAT</w:instrText>
        </w:r>
        <w:r>
          <w:fldChar w:fldCharType="separate"/>
        </w:r>
        <w:r w:rsidR="004138DD" w:rsidRPr="004138DD">
          <w:rPr>
            <w:noProof/>
            <w:lang w:val="es-ES"/>
          </w:rPr>
          <w:t>14</w:t>
        </w:r>
        <w:r>
          <w:fldChar w:fldCharType="end"/>
        </w:r>
      </w:p>
    </w:sdtContent>
  </w:sdt>
  <w:p w14:paraId="0D962A25" w14:textId="77777777" w:rsidR="00BE36ED" w:rsidRDefault="00BE36ED">
    <w:pPr>
      <w:pBdr>
        <w:top w:val="nil"/>
        <w:left w:val="nil"/>
        <w:bottom w:val="nil"/>
        <w:right w:val="nil"/>
        <w:between w:val="nil"/>
      </w:pBdr>
      <w:tabs>
        <w:tab w:val="center" w:pos="4419"/>
        <w:tab w:val="right" w:pos="8838"/>
      </w:tabs>
      <w:jc w:val="center"/>
      <w:rPr>
        <w:rFonts w:ascii="Libre Franklin" w:eastAsia="Libre Franklin" w:hAnsi="Libre Franklin" w:cs="Libre Franklin"/>
        <w:b/>
        <w:i/>
        <w:color w:val="000000"/>
        <w:sz w:val="18"/>
        <w:szCs w:val="18"/>
      </w:rPr>
    </w:pPr>
    <w:r>
      <w:rPr>
        <w:noProof/>
        <w:lang w:bidi="ar-SA"/>
      </w:rPr>
      <w:drawing>
        <wp:anchor distT="0" distB="0" distL="114300" distR="114300" simplePos="0" relativeHeight="251660288" behindDoc="0" locked="0" layoutInCell="1" hidden="0" allowOverlap="1" wp14:anchorId="3C96EFAD" wp14:editId="05758203">
          <wp:simplePos x="0" y="0"/>
          <wp:positionH relativeFrom="margin">
            <wp:align>center</wp:align>
          </wp:positionH>
          <wp:positionV relativeFrom="paragraph">
            <wp:posOffset>8890</wp:posOffset>
          </wp:positionV>
          <wp:extent cx="3111500" cy="2667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1500"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087C" w14:textId="77777777" w:rsidR="00BB42C3" w:rsidRDefault="00BB42C3">
      <w:r>
        <w:separator/>
      </w:r>
    </w:p>
  </w:footnote>
  <w:footnote w:type="continuationSeparator" w:id="0">
    <w:p w14:paraId="5D3EF971" w14:textId="77777777" w:rsidR="00BB42C3" w:rsidRDefault="00BB42C3">
      <w:r>
        <w:continuationSeparator/>
      </w:r>
    </w:p>
  </w:footnote>
  <w:footnote w:id="1">
    <w:p w14:paraId="08096F7B" w14:textId="77777777" w:rsidR="00601BDA" w:rsidRPr="00155ED4" w:rsidRDefault="00601BDA" w:rsidP="00601BDA">
      <w:pPr>
        <w:pStyle w:val="Textonotapie"/>
        <w:rPr>
          <w:lang w:val="es-ES"/>
        </w:rPr>
      </w:pPr>
      <w:r>
        <w:rPr>
          <w:rStyle w:val="Refdenotaalpie"/>
        </w:rPr>
        <w:footnoteRef/>
      </w:r>
      <w:r>
        <w:t xml:space="preserve"> </w:t>
      </w:r>
      <w:r>
        <w:rPr>
          <w:lang w:val="es-ES"/>
        </w:rPr>
        <w:t>Artículo 1° de la Ley 1909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335A" w14:textId="77777777" w:rsidR="00BE36ED" w:rsidRDefault="00BE36ED">
    <w:pPr>
      <w:pBdr>
        <w:top w:val="nil"/>
        <w:left w:val="nil"/>
        <w:bottom w:val="nil"/>
        <w:right w:val="nil"/>
        <w:between w:val="nil"/>
      </w:pBdr>
      <w:spacing w:line="14" w:lineRule="auto"/>
      <w:rPr>
        <w:color w:val="000000"/>
        <w:sz w:val="20"/>
        <w:szCs w:val="20"/>
      </w:rPr>
    </w:pPr>
  </w:p>
  <w:p w14:paraId="7D1CB90A" w14:textId="77777777" w:rsidR="00BE36ED" w:rsidRDefault="00BE36ED">
    <w:pPr>
      <w:pBdr>
        <w:top w:val="nil"/>
        <w:left w:val="nil"/>
        <w:bottom w:val="nil"/>
        <w:right w:val="nil"/>
        <w:between w:val="nil"/>
      </w:pBdr>
      <w:spacing w:line="14" w:lineRule="auto"/>
      <w:rPr>
        <w:color w:val="000000"/>
        <w:sz w:val="20"/>
        <w:szCs w:val="20"/>
      </w:rPr>
    </w:pPr>
  </w:p>
  <w:p w14:paraId="51F3C16C" w14:textId="77777777" w:rsidR="00BE36ED" w:rsidRDefault="00BE36ED">
    <w:pPr>
      <w:pBdr>
        <w:top w:val="nil"/>
        <w:left w:val="nil"/>
        <w:bottom w:val="nil"/>
        <w:right w:val="nil"/>
        <w:between w:val="nil"/>
      </w:pBdr>
      <w:spacing w:line="14" w:lineRule="auto"/>
      <w:rPr>
        <w:color w:val="000000"/>
        <w:sz w:val="20"/>
        <w:szCs w:val="20"/>
      </w:rPr>
    </w:pPr>
  </w:p>
  <w:p w14:paraId="0F5031C4" w14:textId="77777777" w:rsidR="00BE36ED" w:rsidRDefault="00BE36ED">
    <w:pPr>
      <w:pBdr>
        <w:top w:val="nil"/>
        <w:left w:val="nil"/>
        <w:bottom w:val="nil"/>
        <w:right w:val="nil"/>
        <w:between w:val="nil"/>
      </w:pBdr>
      <w:spacing w:line="14" w:lineRule="auto"/>
      <w:rPr>
        <w:color w:val="000000"/>
        <w:sz w:val="20"/>
        <w:szCs w:val="20"/>
      </w:rPr>
    </w:pPr>
  </w:p>
  <w:p w14:paraId="1291E467" w14:textId="77777777" w:rsidR="00BE36ED" w:rsidRDefault="00BE36ED">
    <w:pPr>
      <w:pBdr>
        <w:top w:val="nil"/>
        <w:left w:val="nil"/>
        <w:bottom w:val="nil"/>
        <w:right w:val="nil"/>
        <w:between w:val="nil"/>
      </w:pBdr>
      <w:spacing w:line="14" w:lineRule="auto"/>
      <w:rPr>
        <w:color w:val="000000"/>
        <w:sz w:val="20"/>
        <w:szCs w:val="20"/>
      </w:rPr>
    </w:pPr>
  </w:p>
  <w:p w14:paraId="01F3FFBD" w14:textId="77777777" w:rsidR="00BE36ED" w:rsidRDefault="00BE36ED">
    <w:pPr>
      <w:pBdr>
        <w:top w:val="nil"/>
        <w:left w:val="nil"/>
        <w:bottom w:val="nil"/>
        <w:right w:val="nil"/>
        <w:between w:val="nil"/>
      </w:pBdr>
      <w:spacing w:line="14" w:lineRule="auto"/>
      <w:rPr>
        <w:color w:val="000000"/>
        <w:sz w:val="20"/>
        <w:szCs w:val="20"/>
      </w:rPr>
    </w:pPr>
  </w:p>
  <w:p w14:paraId="08A6B19B" w14:textId="77777777" w:rsidR="00BE36ED" w:rsidRDefault="00BE36ED">
    <w:pPr>
      <w:pBdr>
        <w:top w:val="nil"/>
        <w:left w:val="nil"/>
        <w:bottom w:val="nil"/>
        <w:right w:val="nil"/>
        <w:between w:val="nil"/>
      </w:pBdr>
      <w:spacing w:line="14" w:lineRule="auto"/>
      <w:rPr>
        <w:color w:val="000000"/>
        <w:sz w:val="20"/>
        <w:szCs w:val="20"/>
      </w:rPr>
    </w:pPr>
  </w:p>
  <w:p w14:paraId="7DF846C6" w14:textId="77777777" w:rsidR="00BE36ED" w:rsidRDefault="00BE36ED">
    <w:pPr>
      <w:pBdr>
        <w:top w:val="nil"/>
        <w:left w:val="nil"/>
        <w:bottom w:val="nil"/>
        <w:right w:val="nil"/>
        <w:between w:val="nil"/>
      </w:pBdr>
      <w:spacing w:line="14" w:lineRule="auto"/>
      <w:rPr>
        <w:color w:val="000000"/>
        <w:sz w:val="20"/>
        <w:szCs w:val="20"/>
      </w:rPr>
    </w:pPr>
  </w:p>
  <w:p w14:paraId="38C004FE" w14:textId="77777777" w:rsidR="00BE36ED" w:rsidRDefault="00BE36ED">
    <w:pPr>
      <w:pBdr>
        <w:top w:val="nil"/>
        <w:left w:val="nil"/>
        <w:bottom w:val="nil"/>
        <w:right w:val="nil"/>
        <w:between w:val="nil"/>
      </w:pBdr>
      <w:spacing w:line="14" w:lineRule="auto"/>
      <w:rPr>
        <w:color w:val="000000"/>
        <w:sz w:val="20"/>
        <w:szCs w:val="20"/>
      </w:rPr>
    </w:pPr>
    <w:r>
      <w:rPr>
        <w:noProof/>
        <w:lang w:bidi="ar-SA"/>
      </w:rPr>
      <w:drawing>
        <wp:anchor distT="0" distB="0" distL="114300" distR="114300" simplePos="0" relativeHeight="251659264" behindDoc="0" locked="0" layoutInCell="1" hidden="0" allowOverlap="1" wp14:anchorId="522BB789" wp14:editId="722CD291">
          <wp:simplePos x="0" y="0"/>
          <wp:positionH relativeFrom="column">
            <wp:posOffset>1482725</wp:posOffset>
          </wp:positionH>
          <wp:positionV relativeFrom="paragraph">
            <wp:posOffset>-321309</wp:posOffset>
          </wp:positionV>
          <wp:extent cx="2914650" cy="915035"/>
          <wp:effectExtent l="0" t="0" r="0" b="0"/>
          <wp:wrapSquare wrapText="bothSides" distT="0" distB="0" distL="114300" distR="114300"/>
          <wp:docPr id="94"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914650" cy="915035"/>
                  </a:xfrm>
                  <a:prstGeom prst="rect">
                    <a:avLst/>
                  </a:prstGeom>
                  <a:ln/>
                </pic:spPr>
              </pic:pic>
            </a:graphicData>
          </a:graphic>
        </wp:anchor>
      </w:drawing>
    </w:r>
  </w:p>
  <w:p w14:paraId="398C648F" w14:textId="77777777" w:rsidR="00BE36ED" w:rsidRDefault="00BE36ED">
    <w:pPr>
      <w:pBdr>
        <w:top w:val="nil"/>
        <w:left w:val="nil"/>
        <w:bottom w:val="nil"/>
        <w:right w:val="nil"/>
        <w:between w:val="nil"/>
      </w:pBdr>
      <w:spacing w:line="14" w:lineRule="auto"/>
      <w:rPr>
        <w:color w:val="000000"/>
        <w:sz w:val="20"/>
        <w:szCs w:val="20"/>
      </w:rPr>
    </w:pPr>
  </w:p>
  <w:p w14:paraId="59FA8515" w14:textId="77777777" w:rsidR="00BE36ED" w:rsidRDefault="00BE36ED">
    <w:pPr>
      <w:pBdr>
        <w:top w:val="nil"/>
        <w:left w:val="nil"/>
        <w:bottom w:val="nil"/>
        <w:right w:val="nil"/>
        <w:between w:val="nil"/>
      </w:pBdr>
      <w:spacing w:line="14" w:lineRule="auto"/>
      <w:rPr>
        <w:color w:val="000000"/>
        <w:sz w:val="20"/>
        <w:szCs w:val="20"/>
      </w:rPr>
    </w:pPr>
  </w:p>
  <w:p w14:paraId="7AD06D3D" w14:textId="77777777" w:rsidR="00BE36ED" w:rsidRDefault="00BE36ED">
    <w:pPr>
      <w:pBdr>
        <w:top w:val="nil"/>
        <w:left w:val="nil"/>
        <w:bottom w:val="nil"/>
        <w:right w:val="nil"/>
        <w:between w:val="nil"/>
      </w:pBdr>
      <w:spacing w:line="14" w:lineRule="auto"/>
      <w:rPr>
        <w:color w:val="000000"/>
        <w:sz w:val="20"/>
        <w:szCs w:val="20"/>
      </w:rPr>
    </w:pPr>
  </w:p>
  <w:p w14:paraId="28FBAB9B" w14:textId="77777777" w:rsidR="00BE36ED" w:rsidRDefault="00BE36E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B6B"/>
    <w:multiLevelType w:val="multilevel"/>
    <w:tmpl w:val="0952D1F6"/>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73953"/>
    <w:multiLevelType w:val="multilevel"/>
    <w:tmpl w:val="A6660D7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C20F48"/>
    <w:multiLevelType w:val="hybridMultilevel"/>
    <w:tmpl w:val="6F64D364"/>
    <w:lvl w:ilvl="0" w:tplc="60F881E6">
      <w:start w:val="1"/>
      <w:numFmt w:val="lowerLetter"/>
      <w:lvlText w:val="%1."/>
      <w:lvlJc w:val="left"/>
      <w:pPr>
        <w:ind w:left="1494"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15:restartNumberingAfterBreak="0">
    <w:nsid w:val="13572013"/>
    <w:multiLevelType w:val="multilevel"/>
    <w:tmpl w:val="7DCA2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734C17"/>
    <w:multiLevelType w:val="hybridMultilevel"/>
    <w:tmpl w:val="4F329DE4"/>
    <w:lvl w:ilvl="0" w:tplc="C4A0BD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9202AB"/>
    <w:multiLevelType w:val="hybridMultilevel"/>
    <w:tmpl w:val="0BF62B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1897EFC"/>
    <w:multiLevelType w:val="hybridMultilevel"/>
    <w:tmpl w:val="109CB76E"/>
    <w:lvl w:ilvl="0" w:tplc="ACE0AA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2871F0A"/>
    <w:multiLevelType w:val="hybridMultilevel"/>
    <w:tmpl w:val="C7C6B0D8"/>
    <w:lvl w:ilvl="0" w:tplc="DE002784">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050C8D"/>
    <w:multiLevelType w:val="multilevel"/>
    <w:tmpl w:val="5900CE6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8"/>
  </w:num>
  <w:num w:numId="4">
    <w:abstractNumId w:val="9"/>
  </w:num>
  <w:num w:numId="5">
    <w:abstractNumId w:val="3"/>
  </w:num>
  <w:num w:numId="6">
    <w:abstractNumId w:val="6"/>
  </w:num>
  <w:num w:numId="7">
    <w:abstractNumId w:val="2"/>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BC"/>
    <w:rsid w:val="000F320A"/>
    <w:rsid w:val="003F040C"/>
    <w:rsid w:val="004138DD"/>
    <w:rsid w:val="00463D1E"/>
    <w:rsid w:val="00490D98"/>
    <w:rsid w:val="004F4121"/>
    <w:rsid w:val="00601BDA"/>
    <w:rsid w:val="00646D0F"/>
    <w:rsid w:val="008C043C"/>
    <w:rsid w:val="00911F88"/>
    <w:rsid w:val="0096593D"/>
    <w:rsid w:val="00A666B7"/>
    <w:rsid w:val="00BB42C3"/>
    <w:rsid w:val="00BE36ED"/>
    <w:rsid w:val="00C05EBC"/>
    <w:rsid w:val="00C2175A"/>
    <w:rsid w:val="00C32621"/>
    <w:rsid w:val="00C62201"/>
    <w:rsid w:val="00C773C4"/>
    <w:rsid w:val="00CD0012"/>
    <w:rsid w:val="00CF0AE0"/>
    <w:rsid w:val="00D14D0D"/>
    <w:rsid w:val="00F04C4D"/>
    <w:rsid w:val="00F253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BEC8"/>
  <w15:chartTrackingRefBased/>
  <w15:docId w15:val="{EC3B44DB-9F40-41A4-B317-6CD1BAD3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5EBC"/>
    <w:pPr>
      <w:widowControl w:val="0"/>
      <w:autoSpaceDE w:val="0"/>
      <w:autoSpaceDN w:val="0"/>
      <w:spacing w:after="0" w:line="240" w:lineRule="auto"/>
    </w:pPr>
    <w:rPr>
      <w:rFonts w:ascii="Times New Roman" w:eastAsia="Times New Roman" w:hAnsi="Times New Roman" w:cs="Times New Roman"/>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05EBC"/>
    <w:pPr>
      <w:tabs>
        <w:tab w:val="center" w:pos="4419"/>
        <w:tab w:val="right" w:pos="8838"/>
      </w:tabs>
    </w:pPr>
  </w:style>
  <w:style w:type="character" w:customStyle="1" w:styleId="PiedepginaCar">
    <w:name w:val="Pie de página Car"/>
    <w:basedOn w:val="Fuentedeprrafopredeter"/>
    <w:link w:val="Piedepgina"/>
    <w:uiPriority w:val="99"/>
    <w:rsid w:val="00C05EBC"/>
    <w:rPr>
      <w:rFonts w:ascii="Times New Roman" w:eastAsia="Times New Roman" w:hAnsi="Times New Roman" w:cs="Times New Roman"/>
      <w:lang w:eastAsia="es-CO" w:bidi="es-CO"/>
    </w:rPr>
  </w:style>
  <w:style w:type="character" w:styleId="Hipervnculo">
    <w:name w:val="Hyperlink"/>
    <w:basedOn w:val="Fuentedeprrafopredeter"/>
    <w:uiPriority w:val="99"/>
    <w:unhideWhenUsed/>
    <w:rsid w:val="00C05EBC"/>
    <w:rPr>
      <w:color w:val="0563C1" w:themeColor="hyperlink"/>
      <w:u w:val="single"/>
    </w:rPr>
  </w:style>
  <w:style w:type="paragraph" w:styleId="Prrafodelista">
    <w:name w:val="List Paragraph"/>
    <w:basedOn w:val="Normal"/>
    <w:uiPriority w:val="34"/>
    <w:qFormat/>
    <w:rsid w:val="00C05EBC"/>
    <w:pPr>
      <w:ind w:left="720"/>
      <w:contextualSpacing/>
    </w:pPr>
  </w:style>
  <w:style w:type="paragraph" w:styleId="Sinespaciado">
    <w:name w:val="No Spacing"/>
    <w:uiPriority w:val="1"/>
    <w:qFormat/>
    <w:rsid w:val="003F040C"/>
    <w:pPr>
      <w:widowControl w:val="0"/>
      <w:autoSpaceDE w:val="0"/>
      <w:autoSpaceDN w:val="0"/>
      <w:spacing w:after="0" w:line="240" w:lineRule="auto"/>
    </w:pPr>
    <w:rPr>
      <w:rFonts w:ascii="Times New Roman" w:eastAsia="Times New Roman" w:hAnsi="Times New Roman" w:cs="Times New Roman"/>
      <w:lang w:eastAsia="es-CO" w:bidi="es-CO"/>
    </w:rPr>
  </w:style>
  <w:style w:type="paragraph" w:styleId="Encabezado">
    <w:name w:val="header"/>
    <w:basedOn w:val="Normal"/>
    <w:link w:val="EncabezadoCar"/>
    <w:uiPriority w:val="99"/>
    <w:unhideWhenUsed/>
    <w:rsid w:val="00CF0AE0"/>
    <w:pPr>
      <w:tabs>
        <w:tab w:val="center" w:pos="4419"/>
        <w:tab w:val="right" w:pos="8838"/>
      </w:tabs>
    </w:pPr>
  </w:style>
  <w:style w:type="character" w:customStyle="1" w:styleId="EncabezadoCar">
    <w:name w:val="Encabezado Car"/>
    <w:basedOn w:val="Fuentedeprrafopredeter"/>
    <w:link w:val="Encabezado"/>
    <w:uiPriority w:val="99"/>
    <w:rsid w:val="00CF0AE0"/>
    <w:rPr>
      <w:rFonts w:ascii="Times New Roman" w:eastAsia="Times New Roman" w:hAnsi="Times New Roman" w:cs="Times New Roman"/>
      <w:lang w:eastAsia="es-CO" w:bidi="es-CO"/>
    </w:rPr>
  </w:style>
  <w:style w:type="paragraph" w:styleId="Textonotapie">
    <w:name w:val="footnote text"/>
    <w:basedOn w:val="Normal"/>
    <w:link w:val="TextonotapieCar"/>
    <w:uiPriority w:val="99"/>
    <w:semiHidden/>
    <w:rsid w:val="00601BDA"/>
    <w:pPr>
      <w:overflowPunct w:val="0"/>
      <w:adjustRightInd w:val="0"/>
      <w:jc w:val="both"/>
      <w:textAlignment w:val="baseline"/>
    </w:pPr>
    <w:rPr>
      <w:sz w:val="20"/>
      <w:szCs w:val="20"/>
      <w:lang w:val="es-ES_tradnl" w:eastAsia="es-ES" w:bidi="ar-SA"/>
    </w:rPr>
  </w:style>
  <w:style w:type="character" w:customStyle="1" w:styleId="TextonotapieCar">
    <w:name w:val="Texto nota pie Car"/>
    <w:basedOn w:val="Fuentedeprrafopredeter"/>
    <w:link w:val="Textonotapie"/>
    <w:uiPriority w:val="99"/>
    <w:semiHidden/>
    <w:rsid w:val="00601BD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rsid w:val="00601BDA"/>
    <w:rPr>
      <w:rFonts w:cs="Times New Roman"/>
      <w:vertAlign w:val="superscript"/>
    </w:rPr>
  </w:style>
  <w:style w:type="table" w:styleId="Tablaconcuadrcula">
    <w:name w:val="Table Grid"/>
    <w:basedOn w:val="Tablanormal"/>
    <w:uiPriority w:val="39"/>
    <w:rsid w:val="00601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73C4"/>
    <w:pPr>
      <w:widowControl/>
      <w:autoSpaceDE/>
      <w:autoSpaceDN/>
      <w:spacing w:before="100" w:beforeAutospacing="1" w:after="100" w:afterAutospacing="1"/>
    </w:pPr>
    <w:rPr>
      <w:sz w:val="24"/>
      <w:szCs w:val="24"/>
      <w:lang w:bidi="ar-SA"/>
    </w:rPr>
  </w:style>
  <w:style w:type="paragraph" w:styleId="Textodeglobo">
    <w:name w:val="Balloon Text"/>
    <w:basedOn w:val="Normal"/>
    <w:link w:val="TextodegloboCar"/>
    <w:uiPriority w:val="99"/>
    <w:semiHidden/>
    <w:unhideWhenUsed/>
    <w:rsid w:val="004F4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121"/>
    <w:rPr>
      <w:rFonts w:ascii="Segoe UI" w:eastAsia="Times New Roman" w:hAnsi="Segoe UI" w:cs="Segoe UI"/>
      <w:sz w:val="18"/>
      <w:szCs w:val="18"/>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4012-1C0D-4D73-BCAE-70AC7A89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4586</Words>
  <Characters>25226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Atencia</dc:creator>
  <cp:keywords/>
  <dc:description/>
  <cp:lastModifiedBy>Germán Esteban Lombana Troncoso</cp:lastModifiedBy>
  <cp:revision>3</cp:revision>
  <cp:lastPrinted>2024-09-19T16:17:00Z</cp:lastPrinted>
  <dcterms:created xsi:type="dcterms:W3CDTF">2024-09-19T16:12:00Z</dcterms:created>
  <dcterms:modified xsi:type="dcterms:W3CDTF">2024-09-19T17:04:00Z</dcterms:modified>
</cp:coreProperties>
</file>